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2.0.0 -->
  <w:body>
    <w:p w:rsidR="0021654A" w:rsidRPr="00D37C8E" w:rsidP="0021654A">
      <w:pPr>
        <w:spacing w:before="160" w:line="240" w:lineRule="auto"/>
        <w:jc w:val="center"/>
        <w:rPr>
          <w:rFonts w:asciiTheme="majorHAnsi" w:hAnsiTheme="majorHAnsi" w:cs="Times New Roman"/>
          <w:i/>
          <w:color w:val="FF0000"/>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As 2019 ends, the U.S. and China agree to a phase-one trade deal, and stocks, gold, and oil all advance</w:t>
      </w:r>
      <w:r w:rsidRPr="00423A97">
        <w:rPr>
          <w:rFonts w:asciiTheme="majorHAnsi" w:hAnsiTheme="majorHAnsi" w:cs="Times New Roman"/>
          <w:i/>
          <w:sz w:val="28"/>
          <w:szCs w:val="24"/>
        </w:rPr>
        <w:t>.</w:t>
      </w:r>
    </w:p>
    <w:p w:rsidR="0021654A" w:rsidRPr="00A56786" w:rsidP="0021654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rsidR="0021654A" w:rsidP="0021654A">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before="160" w:line="276" w:lineRule="auto"/>
        <w:jc w:val="center"/>
        <w:rPr>
          <w:rFonts w:asciiTheme="majorHAnsi" w:hAnsiTheme="majorHAnsi" w:cs="Times New Roman"/>
          <w:color w:val="808080" w:themeColor="background1" w:themeShade="80"/>
          <w:sz w:val="2"/>
          <w:szCs w:val="24"/>
        </w:rPr>
      </w:pPr>
    </w:p>
    <w:p w:rsidR="0021654A" w:rsidRPr="001D1391" w:rsidP="0021654A">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 xml:space="preserve">Presented by </w:t>
      </w:r>
      <w:r w:rsidRPr="00DD38C0">
        <w:rPr>
          <w:rFonts w:asciiTheme="majorHAnsi" w:hAnsiTheme="majorHAnsi" w:cs="Times New Roman"/>
          <w:i/>
          <w:color w:val="646464"/>
          <w:sz w:val="24"/>
          <w:szCs w:val="24"/>
        </w:rPr>
        <w:fldChar w:fldCharType="begin"/>
      </w:r>
      <w:r w:rsidRPr="00DD38C0">
        <w:rPr>
          <w:rFonts w:asciiTheme="majorHAnsi" w:hAnsiTheme="majorHAnsi" w:cs="Times New Roman"/>
          <w:i/>
          <w:color w:val="646464"/>
          <w:sz w:val="24"/>
          <w:szCs w:val="24"/>
        </w:rPr>
        <w:instrText xml:space="preserve"> MERGEFIELD  representativename  \* MERGEFORMAT </w:instrText>
      </w:r>
      <w:r w:rsidRPr="00DD38C0">
        <w:rPr>
          <w:rFonts w:asciiTheme="majorHAnsi" w:hAnsiTheme="majorHAnsi" w:cs="Times New Roman"/>
          <w:i/>
          <w:color w:val="646464"/>
          <w:sz w:val="24"/>
          <w:szCs w:val="24"/>
        </w:rPr>
        <w:fldChar w:fldCharType="separate"/>
      </w:r>
      <w:r w:rsidRPr="00DD38C0">
        <w:rPr>
          <w:rFonts w:asciiTheme="majorHAnsi" w:hAnsiTheme="majorHAnsi" w:cs="Times New Roman"/>
          <w:i/>
          <w:noProof/>
          <w:color w:val="646464"/>
          <w:sz w:val="24"/>
          <w:szCs w:val="24"/>
        </w:rPr>
        <w:t>«</w:t>
      </w:r>
      <w:r w:rsidR="0073349F">
        <w:rPr>
          <w:rFonts w:asciiTheme="majorHAnsi" w:hAnsiTheme="majorHAnsi" w:cs="Times New Roman"/>
          <w:i/>
          <w:noProof/>
          <w:color w:val="646464"/>
          <w:sz w:val="24"/>
          <w:szCs w:val="24"/>
        </w:rPr>
        <w:t>Harry Toro</w:t>
      </w:r>
      <w:r w:rsidRPr="00DD38C0">
        <w:rPr>
          <w:rFonts w:asciiTheme="majorHAnsi" w:hAnsiTheme="majorHAnsi" w:cs="Times New Roman"/>
          <w:i/>
          <w:noProof/>
          <w:color w:val="646464"/>
          <w:sz w:val="24"/>
          <w:szCs w:val="24"/>
        </w:rPr>
        <w:t>»</w:t>
      </w:r>
      <w:r w:rsidRPr="00DD38C0">
        <w:rPr>
          <w:rFonts w:asciiTheme="majorHAnsi" w:hAnsiTheme="majorHAnsi" w:cs="Times New Roman"/>
          <w:i/>
          <w:color w:val="646464"/>
          <w:sz w:val="24"/>
          <w:szCs w:val="24"/>
        </w:rPr>
        <w:fldChar w:fldCharType="end"/>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January 2020</w:t>
      </w:r>
    </w:p>
    <w:p w:rsidR="0021654A" w:rsidRPr="00DD38C0" w:rsidP="0021654A">
      <w:pPr>
        <w:spacing w:before="160" w:line="276" w:lineRule="auto"/>
        <w:jc w:val="center"/>
        <w:rPr>
          <w:rFonts w:asciiTheme="majorHAnsi" w:hAnsiTheme="majorHAnsi" w:cs="Times New Roman"/>
          <w:color w:val="000000" w:themeColor="text1"/>
          <w:sz w:val="4"/>
          <w:szCs w:val="24"/>
        </w:rPr>
      </w:pPr>
    </w:p>
    <w:p w:rsidR="0021654A" w:rsidP="0021654A">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rsidR="0021654A" w:rsidRPr="0047025A" w:rsidP="0021654A">
      <w:pPr>
        <w:spacing w:line="276" w:lineRule="auto"/>
        <w:jc w:val="both"/>
        <w:rPr>
          <w:rFonts w:asciiTheme="majorHAnsi" w:hAnsiTheme="majorHAnsi"/>
          <w:color w:val="002060"/>
          <w:sz w:val="24"/>
          <w:szCs w:val="24"/>
        </w:rPr>
      </w:pPr>
      <w:r>
        <w:rPr>
          <w:rFonts w:asciiTheme="majorHAnsi" w:hAnsiTheme="majorHAnsi" w:cstheme="majorHAnsi"/>
          <w:sz w:val="24"/>
          <w:szCs w:val="24"/>
        </w:rPr>
        <w:t>Stocks rallied in December, closing out a decidedly positive year on Wall Street</w:t>
      </w:r>
      <w:r>
        <w:rPr>
          <w:rFonts w:asciiTheme="majorHAnsi" w:hAnsiTheme="majorHAnsi"/>
          <w:sz w:val="24"/>
          <w:szCs w:val="24"/>
        </w:rPr>
        <w:t>. The S&amp;P 500 added another 2.86% last month, rising 28.88% for 2019. What helped the market? The trade dispute between the U.S. and China cooled a bit, as b</w:t>
      </w:r>
      <w:r>
        <w:rPr>
          <w:rFonts w:asciiTheme="majorHAnsi" w:hAnsiTheme="majorHAnsi"/>
          <w:sz w:val="24"/>
          <w:szCs w:val="24"/>
        </w:rPr>
        <w:t>oth nations took what was characterized as an initial step toward a potentially larger trade accord. Also, some fundamental indicators hinted that the economy might be picking up rather than slowing down. These factors put investors in a buying mood as the</w:t>
      </w:r>
      <w:r>
        <w:rPr>
          <w:rFonts w:asciiTheme="majorHAnsi" w:hAnsiTheme="majorHAnsi"/>
          <w:sz w:val="24"/>
          <w:szCs w:val="24"/>
        </w:rPr>
        <w:t xml:space="preserve"> year ended. In Washington, the Federal Reserve left interest rates alone, and a new law was passed impacting retirement accounts. A considerable number of overseas stock markets advanced, and the broad commodities sector fared well.    </w:t>
      </w:r>
    </w:p>
    <w:p w:rsidR="0021654A" w:rsidRPr="00DD38C0" w:rsidP="0021654A">
      <w:pPr>
        <w:spacing w:line="276" w:lineRule="auto"/>
        <w:rPr>
          <w:rFonts w:asciiTheme="majorHAnsi" w:hAnsiTheme="majorHAnsi"/>
          <w:sz w:val="6"/>
          <w:szCs w:val="24"/>
        </w:rPr>
      </w:pPr>
    </w:p>
    <w:p w:rsidR="0021654A" w:rsidP="0021654A">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rPr>
          <w:rFonts w:asciiTheme="majorHAnsi" w:hAnsiTheme="majorHAnsi"/>
          <w:sz w:val="6"/>
          <w:szCs w:val="24"/>
        </w:rPr>
      </w:pPr>
    </w:p>
    <w:p w:rsidR="0021654A" w:rsidP="0021654A">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rsidR="0021654A" w:rsidRPr="00A76DCB" w:rsidP="0021654A">
      <w:pPr>
        <w:spacing w:line="276" w:lineRule="auto"/>
        <w:jc w:val="both"/>
        <w:rPr>
          <w:rStyle w:val="st"/>
          <w:rFonts w:asciiTheme="majorHAnsi" w:hAnsiTheme="majorHAnsi" w:cstheme="majorHAnsi"/>
          <w:sz w:val="24"/>
          <w:szCs w:val="24"/>
        </w:rPr>
      </w:pPr>
      <w:r w:rsidRPr="00521663">
        <w:rPr>
          <w:rStyle w:val="st"/>
          <w:rFonts w:asciiTheme="majorHAnsi" w:hAnsiTheme="majorHAnsi" w:cstheme="majorHAnsi"/>
          <w:sz w:val="24"/>
          <w:szCs w:val="24"/>
        </w:rPr>
        <w:t>After a year-and-a-half of tariffs and stern talk, the world’s two largest economies reached a preliminary trade pact</w:t>
      </w:r>
      <w:r>
        <w:rPr>
          <w:rStyle w:val="st"/>
          <w:rFonts w:asciiTheme="majorHAnsi" w:hAnsiTheme="majorHAnsi" w:cstheme="majorHAnsi"/>
          <w:sz w:val="24"/>
          <w:szCs w:val="24"/>
        </w:rPr>
        <w:t>, which may</w:t>
      </w:r>
      <w:r w:rsidRPr="00521663">
        <w:rPr>
          <w:rStyle w:val="st"/>
          <w:rFonts w:asciiTheme="majorHAnsi" w:hAnsiTheme="majorHAnsi" w:cstheme="majorHAnsi"/>
          <w:sz w:val="24"/>
          <w:szCs w:val="24"/>
        </w:rPr>
        <w:t xml:space="preserve"> lead to a larger one</w:t>
      </w:r>
      <w:r>
        <w:rPr>
          <w:rStyle w:val="st"/>
          <w:rFonts w:asciiTheme="majorHAnsi" w:hAnsiTheme="majorHAnsi" w:cstheme="majorHAnsi"/>
          <w:sz w:val="24"/>
          <w:szCs w:val="24"/>
        </w:rPr>
        <w:t xml:space="preserve"> in 2020</w:t>
      </w:r>
      <w:r w:rsidRPr="00521663">
        <w:rPr>
          <w:rStyle w:val="st"/>
          <w:rFonts w:asciiTheme="majorHAnsi" w:hAnsiTheme="majorHAnsi" w:cstheme="majorHAnsi"/>
          <w:sz w:val="24"/>
          <w:szCs w:val="24"/>
        </w:rPr>
        <w:t xml:space="preserve">. On December 13, U.S. and Chinese officials stated that a deal had been </w:t>
      </w:r>
      <w:r w:rsidRPr="00521663">
        <w:rPr>
          <w:rStyle w:val="st"/>
          <w:rFonts w:asciiTheme="majorHAnsi" w:hAnsiTheme="majorHAnsi" w:cstheme="majorHAnsi"/>
          <w:sz w:val="24"/>
          <w:szCs w:val="24"/>
        </w:rPr>
        <w:t xml:space="preserve">reached. </w:t>
      </w:r>
      <w:r w:rsidRPr="002B5539">
        <w:rPr>
          <w:rStyle w:val="st"/>
          <w:rFonts w:asciiTheme="majorHAnsi" w:hAnsiTheme="majorHAnsi" w:cstheme="majorHAnsi"/>
          <w:sz w:val="24"/>
          <w:szCs w:val="24"/>
        </w:rPr>
        <w:t>U.S. Trade Representative Robert L</w:t>
      </w:r>
      <w:r w:rsidRPr="00A76DCB">
        <w:rPr>
          <w:rStyle w:val="st"/>
          <w:rFonts w:asciiTheme="majorHAnsi" w:hAnsiTheme="majorHAnsi" w:cstheme="majorHAnsi"/>
          <w:sz w:val="24"/>
          <w:szCs w:val="24"/>
        </w:rPr>
        <w:t>ighthizer told reporters that th</w:t>
      </w:r>
      <w:r>
        <w:rPr>
          <w:rStyle w:val="st"/>
          <w:rFonts w:asciiTheme="majorHAnsi" w:hAnsiTheme="majorHAnsi" w:cstheme="majorHAnsi"/>
          <w:sz w:val="24"/>
          <w:szCs w:val="24"/>
        </w:rPr>
        <w:t>is</w:t>
      </w:r>
      <w:r w:rsidRPr="00A76DCB">
        <w:rPr>
          <w:rStyle w:val="st"/>
          <w:rFonts w:asciiTheme="majorHAnsi" w:hAnsiTheme="majorHAnsi" w:cstheme="majorHAnsi"/>
          <w:sz w:val="24"/>
          <w:szCs w:val="24"/>
        </w:rPr>
        <w:t xml:space="preserve"> phase-one deal would be signed in Washington in January, and President Donald Trump noted that negotiations toward the next phase would start “immediately.”</w:t>
      </w:r>
      <w:r>
        <w:rPr>
          <w:rStyle w:val="st"/>
          <w:rFonts w:asciiTheme="majorHAnsi" w:hAnsiTheme="majorHAnsi" w:cstheme="majorHAnsi"/>
          <w:sz w:val="24"/>
          <w:szCs w:val="24"/>
        </w:rPr>
        <w:t xml:space="preserve"> </w:t>
      </w:r>
      <w:r w:rsidRPr="00521663">
        <w:rPr>
          <w:rStyle w:val="st"/>
          <w:rFonts w:asciiTheme="majorHAnsi" w:hAnsiTheme="majorHAnsi" w:cstheme="majorHAnsi"/>
          <w:sz w:val="24"/>
          <w:szCs w:val="24"/>
        </w:rPr>
        <w:t xml:space="preserve">In the big </w:t>
      </w:r>
      <w:r w:rsidRPr="002B5539">
        <w:rPr>
          <w:rStyle w:val="st"/>
          <w:rFonts w:asciiTheme="majorHAnsi" w:hAnsiTheme="majorHAnsi" w:cstheme="majorHAnsi"/>
          <w:sz w:val="24"/>
          <w:szCs w:val="24"/>
        </w:rPr>
        <w:t xml:space="preserve">picture, </w:t>
      </w:r>
      <w:r>
        <w:rPr>
          <w:rStyle w:val="st"/>
          <w:rFonts w:asciiTheme="majorHAnsi" w:hAnsiTheme="majorHAnsi" w:cstheme="majorHAnsi"/>
          <w:sz w:val="24"/>
          <w:szCs w:val="24"/>
        </w:rPr>
        <w:t>t</w:t>
      </w:r>
      <w:r>
        <w:rPr>
          <w:rStyle w:val="st"/>
          <w:rFonts w:asciiTheme="majorHAnsi" w:hAnsiTheme="majorHAnsi" w:cstheme="majorHAnsi"/>
          <w:sz w:val="24"/>
          <w:szCs w:val="24"/>
        </w:rPr>
        <w:t>he phase-one deal</w:t>
      </w:r>
      <w:r w:rsidRPr="002B5539">
        <w:rPr>
          <w:rStyle w:val="st"/>
          <w:rFonts w:asciiTheme="majorHAnsi" w:hAnsiTheme="majorHAnsi" w:cstheme="majorHAnsi"/>
          <w:sz w:val="24"/>
          <w:szCs w:val="24"/>
        </w:rPr>
        <w:t xml:space="preserve"> calls for China to buy more U.S. </w:t>
      </w:r>
      <w:r>
        <w:rPr>
          <w:rStyle w:val="st"/>
          <w:rFonts w:asciiTheme="majorHAnsi" w:hAnsiTheme="majorHAnsi" w:cstheme="majorHAnsi"/>
          <w:sz w:val="24"/>
          <w:szCs w:val="24"/>
        </w:rPr>
        <w:t>crops</w:t>
      </w:r>
      <w:r w:rsidRPr="002B5539">
        <w:rPr>
          <w:rStyle w:val="st"/>
          <w:rFonts w:asciiTheme="majorHAnsi" w:hAnsiTheme="majorHAnsi" w:cstheme="majorHAnsi"/>
          <w:sz w:val="24"/>
          <w:szCs w:val="24"/>
        </w:rPr>
        <w:t xml:space="preserve"> and provide better protection for U.S. intellectual property, in exchange for reduction and cancel</w:t>
      </w:r>
      <w:r>
        <w:rPr>
          <w:rStyle w:val="st"/>
          <w:rFonts w:asciiTheme="majorHAnsi" w:hAnsiTheme="majorHAnsi" w:cstheme="majorHAnsi"/>
          <w:sz w:val="24"/>
          <w:szCs w:val="24"/>
        </w:rPr>
        <w:t>l</w:t>
      </w:r>
      <w:r w:rsidRPr="002B5539">
        <w:rPr>
          <w:rStyle w:val="st"/>
          <w:rFonts w:asciiTheme="majorHAnsi" w:hAnsiTheme="majorHAnsi" w:cstheme="majorHAnsi"/>
          <w:sz w:val="24"/>
          <w:szCs w:val="24"/>
        </w:rPr>
        <w:t xml:space="preserve">ation of some </w:t>
      </w:r>
      <w:r>
        <w:rPr>
          <w:rStyle w:val="st"/>
          <w:rFonts w:asciiTheme="majorHAnsi" w:hAnsiTheme="majorHAnsi" w:cstheme="majorHAnsi"/>
          <w:sz w:val="24"/>
          <w:szCs w:val="24"/>
        </w:rPr>
        <w:t xml:space="preserve">tariffs </w:t>
      </w:r>
      <w:r w:rsidRPr="002B5539">
        <w:rPr>
          <w:rStyle w:val="st"/>
          <w:rFonts w:asciiTheme="majorHAnsi" w:hAnsiTheme="majorHAnsi" w:cstheme="majorHAnsi"/>
          <w:sz w:val="24"/>
          <w:szCs w:val="24"/>
        </w:rPr>
        <w:t xml:space="preserve">on Chinese </w:t>
      </w:r>
      <w:r>
        <w:rPr>
          <w:rStyle w:val="st"/>
          <w:rFonts w:asciiTheme="majorHAnsi" w:hAnsiTheme="majorHAnsi" w:cstheme="majorHAnsi"/>
          <w:sz w:val="24"/>
          <w:szCs w:val="24"/>
        </w:rPr>
        <w:t>products</w:t>
      </w:r>
      <w:r w:rsidRPr="002B5539">
        <w:rPr>
          <w:rStyle w:val="st"/>
          <w:rFonts w:asciiTheme="majorHAnsi" w:hAnsiTheme="majorHAnsi" w:cstheme="majorHAnsi"/>
          <w:sz w:val="24"/>
          <w:szCs w:val="24"/>
        </w:rPr>
        <w:t xml:space="preserve">. </w:t>
      </w:r>
      <w:r>
        <w:rPr>
          <w:rStyle w:val="st"/>
          <w:rFonts w:asciiTheme="majorHAnsi" w:hAnsiTheme="majorHAnsi" w:cstheme="majorHAnsi"/>
          <w:sz w:val="24"/>
          <w:szCs w:val="24"/>
        </w:rPr>
        <w:t>A</w:t>
      </w:r>
      <w:r w:rsidRPr="002B5539">
        <w:rPr>
          <w:rStyle w:val="st"/>
          <w:rFonts w:asciiTheme="majorHAnsi" w:hAnsiTheme="majorHAnsi" w:cstheme="majorHAnsi"/>
          <w:sz w:val="24"/>
          <w:szCs w:val="24"/>
        </w:rPr>
        <w:t xml:space="preserve">s part of the </w:t>
      </w:r>
      <w:r>
        <w:rPr>
          <w:rStyle w:val="st"/>
          <w:rFonts w:asciiTheme="majorHAnsi" w:hAnsiTheme="majorHAnsi" w:cstheme="majorHAnsi"/>
          <w:sz w:val="24"/>
          <w:szCs w:val="24"/>
        </w:rPr>
        <w:t>agreement, the</w:t>
      </w:r>
      <w:r w:rsidRPr="002B5539">
        <w:rPr>
          <w:rStyle w:val="st"/>
          <w:rFonts w:asciiTheme="majorHAnsi" w:hAnsiTheme="majorHAnsi" w:cstheme="majorHAnsi"/>
          <w:sz w:val="24"/>
          <w:szCs w:val="24"/>
        </w:rPr>
        <w:t xml:space="preserve"> U.S. halved an existing 15%</w:t>
      </w:r>
      <w:r w:rsidRPr="002B5539">
        <w:rPr>
          <w:rStyle w:val="st"/>
          <w:rFonts w:asciiTheme="majorHAnsi" w:hAnsiTheme="majorHAnsi" w:cstheme="majorHAnsi"/>
          <w:sz w:val="24"/>
          <w:szCs w:val="24"/>
        </w:rPr>
        <w:t xml:space="preserve"> import tax</w:t>
      </w:r>
      <w:r>
        <w:rPr>
          <w:rStyle w:val="st"/>
          <w:rFonts w:asciiTheme="majorHAnsi" w:hAnsiTheme="majorHAnsi" w:cstheme="majorHAnsi"/>
          <w:sz w:val="24"/>
          <w:szCs w:val="24"/>
        </w:rPr>
        <w:t xml:space="preserve"> </w:t>
      </w:r>
      <w:r w:rsidRPr="002B5539">
        <w:rPr>
          <w:rStyle w:val="st"/>
          <w:rFonts w:asciiTheme="majorHAnsi" w:hAnsiTheme="majorHAnsi" w:cstheme="majorHAnsi"/>
          <w:sz w:val="24"/>
          <w:szCs w:val="24"/>
        </w:rPr>
        <w:t>on $120 billion of Chinese goods and canceled new tariffs scheduled for December 15</w:t>
      </w:r>
      <w:r>
        <w:rPr>
          <w:rStyle w:val="st"/>
          <w:rFonts w:asciiTheme="majorHAnsi" w:hAnsiTheme="majorHAnsi" w:cstheme="majorHAnsi"/>
          <w:sz w:val="24"/>
          <w:szCs w:val="24"/>
        </w:rPr>
        <w:t>.</w:t>
      </w:r>
      <w:r w:rsidRPr="002B5539">
        <w:rPr>
          <w:rStyle w:val="st"/>
          <w:rFonts w:asciiTheme="majorHAnsi" w:hAnsiTheme="majorHAnsi" w:cstheme="majorHAnsi"/>
          <w:sz w:val="24"/>
          <w:szCs w:val="24"/>
        </w:rPr>
        <w:t xml:space="preserve"> </w:t>
      </w:r>
      <w:r>
        <w:rPr>
          <w:rStyle w:val="st"/>
          <w:rFonts w:asciiTheme="majorHAnsi" w:hAnsiTheme="majorHAnsi" w:cstheme="majorHAnsi"/>
          <w:sz w:val="24"/>
          <w:szCs w:val="24"/>
        </w:rPr>
        <w:t>T</w:t>
      </w:r>
      <w:r w:rsidRPr="002B5539">
        <w:rPr>
          <w:rStyle w:val="st"/>
          <w:rFonts w:asciiTheme="majorHAnsi" w:hAnsiTheme="majorHAnsi" w:cstheme="majorHAnsi"/>
          <w:sz w:val="24"/>
          <w:szCs w:val="24"/>
        </w:rPr>
        <w:t xml:space="preserve">he 25% tariffs that both nations implemented in spring 2019 may </w:t>
      </w:r>
      <w:r>
        <w:rPr>
          <w:rStyle w:val="st"/>
          <w:rFonts w:asciiTheme="majorHAnsi" w:hAnsiTheme="majorHAnsi" w:cstheme="majorHAnsi"/>
          <w:sz w:val="24"/>
          <w:szCs w:val="24"/>
        </w:rPr>
        <w:t xml:space="preserve">soon </w:t>
      </w:r>
      <w:r w:rsidRPr="002B5539">
        <w:rPr>
          <w:rStyle w:val="st"/>
          <w:rFonts w:asciiTheme="majorHAnsi" w:hAnsiTheme="majorHAnsi" w:cstheme="majorHAnsi"/>
          <w:sz w:val="24"/>
          <w:szCs w:val="24"/>
        </w:rPr>
        <w:t>be reduced or removed.</w:t>
      </w:r>
      <w:r w:rsidRPr="00A76DCB">
        <w:rPr>
          <w:rStyle w:val="st"/>
          <w:rFonts w:asciiTheme="majorHAnsi" w:hAnsiTheme="majorHAnsi" w:cstheme="majorHAnsi"/>
          <w:sz w:val="24"/>
          <w:szCs w:val="24"/>
          <w:vertAlign w:val="superscript"/>
        </w:rPr>
        <w:t>2</w:t>
      </w:r>
      <w:r w:rsidRPr="00A76DCB">
        <w:rPr>
          <w:rStyle w:val="st"/>
          <w:rFonts w:asciiTheme="majorHAnsi" w:hAnsiTheme="majorHAnsi" w:cstheme="majorHAnsi"/>
          <w:sz w:val="24"/>
          <w:szCs w:val="24"/>
        </w:rPr>
        <w:t xml:space="preserve"> </w:t>
      </w:r>
    </w:p>
    <w:p w:rsidR="0021654A" w:rsidRPr="00664EEA" w:rsidP="0021654A">
      <w:pPr>
        <w:spacing w:line="276" w:lineRule="auto"/>
        <w:jc w:val="both"/>
        <w:rPr>
          <w:rStyle w:val="st"/>
          <w:rFonts w:asciiTheme="majorHAnsi" w:hAnsiTheme="majorHAnsi"/>
          <w:sz w:val="24"/>
          <w:szCs w:val="24"/>
        </w:rPr>
      </w:pPr>
      <w:r w:rsidRPr="00A76DCB">
        <w:rPr>
          <w:rStyle w:val="st"/>
          <w:rFonts w:asciiTheme="majorHAnsi" w:hAnsiTheme="majorHAnsi" w:cstheme="majorHAnsi"/>
          <w:sz w:val="24"/>
          <w:szCs w:val="24"/>
        </w:rPr>
        <w:t>Federal Reserve</w:t>
      </w:r>
      <w:r>
        <w:rPr>
          <w:rStyle w:val="st"/>
          <w:rFonts w:asciiTheme="majorHAnsi" w:hAnsiTheme="majorHAnsi" w:cstheme="majorHAnsi"/>
          <w:sz w:val="24"/>
          <w:szCs w:val="24"/>
        </w:rPr>
        <w:t xml:space="preserve"> policymakers</w:t>
      </w:r>
      <w:r w:rsidRPr="00A76DCB">
        <w:rPr>
          <w:rStyle w:val="st"/>
          <w:rFonts w:asciiTheme="majorHAnsi" w:hAnsiTheme="majorHAnsi" w:cstheme="majorHAnsi"/>
          <w:sz w:val="24"/>
          <w:szCs w:val="24"/>
        </w:rPr>
        <w:t xml:space="preserve"> decided to hold the </w:t>
      </w:r>
      <w:r w:rsidRPr="003976DB">
        <w:rPr>
          <w:rStyle w:val="st"/>
          <w:rFonts w:asciiTheme="majorHAnsi" w:hAnsiTheme="majorHAnsi" w:cstheme="majorHAnsi"/>
          <w:sz w:val="24"/>
          <w:szCs w:val="24"/>
        </w:rPr>
        <w:t xml:space="preserve">benchmark </w:t>
      </w:r>
      <w:r w:rsidRPr="003976DB">
        <w:rPr>
          <w:rStyle w:val="st"/>
          <w:rFonts w:asciiTheme="majorHAnsi" w:hAnsiTheme="majorHAnsi" w:cstheme="majorHAnsi"/>
          <w:sz w:val="24"/>
          <w:szCs w:val="24"/>
        </w:rPr>
        <w:t>interest rate steady</w:t>
      </w:r>
      <w:r>
        <w:rPr>
          <w:rStyle w:val="st"/>
          <w:rFonts w:asciiTheme="majorHAnsi" w:hAnsiTheme="majorHAnsi" w:cstheme="majorHAnsi"/>
          <w:sz w:val="24"/>
          <w:szCs w:val="24"/>
        </w:rPr>
        <w:t xml:space="preserve"> last month; the vote was unanimous</w:t>
      </w:r>
      <w:r w:rsidRPr="00664EEA">
        <w:rPr>
          <w:rStyle w:val="st"/>
          <w:rFonts w:asciiTheme="majorHAnsi" w:hAnsiTheme="majorHAnsi"/>
          <w:sz w:val="24"/>
          <w:szCs w:val="24"/>
        </w:rPr>
        <w:t xml:space="preserve">. </w:t>
      </w:r>
      <w:r w:rsidRPr="00CD6E1D">
        <w:rPr>
          <w:rStyle w:val="st"/>
          <w:rFonts w:asciiTheme="majorHAnsi" w:hAnsiTheme="majorHAnsi"/>
          <w:sz w:val="24"/>
          <w:szCs w:val="24"/>
        </w:rPr>
        <w:t>According to the latest Fed dot-plot (a chart the central bank uses to convey its benchmark interest rate outlook), 13 of 17 Federal Open Market Committee officials think that the FOMC will leave sho</w:t>
      </w:r>
      <w:r w:rsidRPr="00CD6E1D">
        <w:rPr>
          <w:rStyle w:val="st"/>
          <w:rFonts w:asciiTheme="majorHAnsi" w:hAnsiTheme="majorHAnsi"/>
          <w:sz w:val="24"/>
          <w:szCs w:val="24"/>
        </w:rPr>
        <w:t>rt-term interest rates alone for all of 2020.</w:t>
      </w:r>
      <w:r w:rsidRPr="00664EEA">
        <w:rPr>
          <w:rStyle w:val="st"/>
          <w:rFonts w:asciiTheme="majorHAnsi" w:hAnsiTheme="majorHAnsi"/>
          <w:sz w:val="24"/>
          <w:szCs w:val="24"/>
          <w:vertAlign w:val="superscript"/>
        </w:rPr>
        <w:t>3</w:t>
      </w:r>
    </w:p>
    <w:p w:rsidR="0021654A" w:rsidRPr="00734B22" w:rsidP="0021654A">
      <w:pPr>
        <w:spacing w:line="276" w:lineRule="auto"/>
        <w:jc w:val="both"/>
        <w:rPr>
          <w:rFonts w:asciiTheme="majorHAnsi" w:hAnsiTheme="majorHAnsi"/>
          <w:sz w:val="24"/>
          <w:szCs w:val="24"/>
        </w:rPr>
      </w:pPr>
      <w:r w:rsidRPr="0059086B">
        <w:rPr>
          <w:rStyle w:val="st"/>
          <w:rFonts w:asciiTheme="majorHAnsi" w:hAnsiTheme="majorHAnsi" w:cstheme="majorHAnsi"/>
          <w:sz w:val="24"/>
          <w:szCs w:val="24"/>
        </w:rPr>
        <w:t xml:space="preserve">November hiring numbers were impressive, even given the influence of striking General Motors employees returning to their jobs after a fall labor dispute. Nonfarm payrolls swelled with 266,000 net new jobs in </w:t>
      </w:r>
      <w:r w:rsidRPr="0059086B">
        <w:rPr>
          <w:rStyle w:val="st"/>
          <w:rFonts w:asciiTheme="majorHAnsi" w:hAnsiTheme="majorHAnsi" w:cstheme="majorHAnsi"/>
          <w:sz w:val="24"/>
          <w:szCs w:val="24"/>
        </w:rPr>
        <w:t>the eleventh month of the year, according to the Department of Labor; wages were up 3.1% year-over-year. Both the headline jobless rate and the broader U-6 rate</w:t>
      </w:r>
      <w:r>
        <w:rPr>
          <w:rStyle w:val="st"/>
          <w:rFonts w:asciiTheme="majorHAnsi" w:hAnsiTheme="majorHAnsi" w:cstheme="majorHAnsi"/>
          <w:sz w:val="24"/>
          <w:szCs w:val="24"/>
        </w:rPr>
        <w:t>,</w:t>
      </w:r>
      <w:r w:rsidRPr="0059086B">
        <w:rPr>
          <w:rStyle w:val="st"/>
          <w:rFonts w:asciiTheme="majorHAnsi" w:hAnsiTheme="majorHAnsi" w:cstheme="majorHAnsi"/>
          <w:sz w:val="24"/>
          <w:szCs w:val="24"/>
        </w:rPr>
        <w:t xml:space="preserve"> measuring unemployment and underemployment</w:t>
      </w:r>
      <w:r>
        <w:rPr>
          <w:rStyle w:val="st"/>
          <w:rFonts w:asciiTheme="majorHAnsi" w:hAnsiTheme="majorHAnsi" w:cstheme="majorHAnsi"/>
          <w:sz w:val="24"/>
          <w:szCs w:val="24"/>
        </w:rPr>
        <w:t>,</w:t>
      </w:r>
      <w:r w:rsidRPr="0059086B">
        <w:rPr>
          <w:rStyle w:val="st"/>
          <w:rFonts w:asciiTheme="majorHAnsi" w:hAnsiTheme="majorHAnsi" w:cstheme="majorHAnsi"/>
          <w:sz w:val="24"/>
          <w:szCs w:val="24"/>
        </w:rPr>
        <w:t xml:space="preserve"> ticked down 0.1% in November, to a respective 3.5</w:t>
      </w:r>
      <w:r w:rsidRPr="00734B22">
        <w:rPr>
          <w:rStyle w:val="st"/>
          <w:rFonts w:asciiTheme="majorHAnsi" w:hAnsiTheme="majorHAnsi" w:cstheme="majorHAnsi"/>
          <w:sz w:val="24"/>
          <w:szCs w:val="24"/>
        </w:rPr>
        <w:t>%</w:t>
      </w:r>
      <w:r w:rsidRPr="00734B22">
        <w:rPr>
          <w:rStyle w:val="st"/>
          <w:rFonts w:asciiTheme="majorHAnsi" w:hAnsiTheme="majorHAnsi" w:cstheme="majorHAnsi"/>
          <w:sz w:val="24"/>
          <w:szCs w:val="24"/>
        </w:rPr>
        <w:t xml:space="preserve"> and 6.9%.</w:t>
      </w:r>
      <w:r w:rsidRPr="00734B22">
        <w:rPr>
          <w:rStyle w:val="st"/>
          <w:rFonts w:asciiTheme="majorHAnsi" w:hAnsiTheme="majorHAnsi"/>
          <w:sz w:val="24"/>
          <w:szCs w:val="24"/>
          <w:vertAlign w:val="superscript"/>
        </w:rPr>
        <w:t>4</w:t>
      </w:r>
    </w:p>
    <w:p w:rsidR="0021654A" w:rsidRPr="00127CD1" w:rsidP="0021654A">
      <w:pPr>
        <w:spacing w:line="276" w:lineRule="auto"/>
        <w:jc w:val="both"/>
        <w:rPr>
          <w:rStyle w:val="st"/>
          <w:rFonts w:asciiTheme="majorHAnsi" w:hAnsiTheme="majorHAnsi" w:cstheme="majorHAnsi"/>
          <w:sz w:val="24"/>
          <w:szCs w:val="24"/>
        </w:rPr>
      </w:pPr>
      <w:r w:rsidRPr="00734B22">
        <w:rPr>
          <w:rStyle w:val="st"/>
          <w:rFonts w:asciiTheme="majorHAnsi" w:hAnsiTheme="majorHAnsi" w:cstheme="majorHAnsi"/>
          <w:sz w:val="24"/>
          <w:szCs w:val="24"/>
        </w:rPr>
        <w:t xml:space="preserve">Retail sales were up 3.4% this holiday season compared to last, according to Mastercard’s annual November 1-December 24 snapshot. Online retailers saw a year-over-year gain of 18.8%. In the month of </w:t>
      </w:r>
      <w:r w:rsidRPr="00E64239">
        <w:rPr>
          <w:rStyle w:val="st"/>
          <w:rFonts w:asciiTheme="majorHAnsi" w:hAnsiTheme="majorHAnsi" w:cstheme="majorHAnsi"/>
          <w:sz w:val="24"/>
          <w:szCs w:val="24"/>
        </w:rPr>
        <w:t>November, overall retail sales advanced 0.2%</w:t>
      </w:r>
      <w:r>
        <w:rPr>
          <w:rStyle w:val="st"/>
          <w:rFonts w:asciiTheme="majorHAnsi" w:hAnsiTheme="majorHAnsi" w:cstheme="majorHAnsi"/>
          <w:sz w:val="24"/>
          <w:szCs w:val="24"/>
        </w:rPr>
        <w:t xml:space="preserve"> by the estimation of the Census Bureau</w:t>
      </w:r>
      <w:r w:rsidRPr="00E64239">
        <w:rPr>
          <w:rStyle w:val="st"/>
          <w:rFonts w:asciiTheme="majorHAnsi" w:hAnsiTheme="majorHAnsi" w:cstheme="majorHAnsi"/>
          <w:sz w:val="24"/>
          <w:szCs w:val="24"/>
        </w:rPr>
        <w:t xml:space="preserve">, leaving the 12-month gain at 3.5%. The Department of Commerce said consumer spending rose 0.4% in November; </w:t>
      </w:r>
      <w:r w:rsidRPr="00127CD1">
        <w:rPr>
          <w:rStyle w:val="st"/>
          <w:rFonts w:asciiTheme="majorHAnsi" w:hAnsiTheme="majorHAnsi" w:cstheme="majorHAnsi"/>
          <w:sz w:val="24"/>
          <w:szCs w:val="24"/>
        </w:rPr>
        <w:t>consumer incomes advanced 0.5%.</w:t>
      </w:r>
      <w:r w:rsidRPr="00127CD1">
        <w:rPr>
          <w:rStyle w:val="st"/>
          <w:rFonts w:asciiTheme="majorHAnsi" w:hAnsiTheme="majorHAnsi" w:cstheme="majorHAnsi"/>
          <w:sz w:val="24"/>
          <w:szCs w:val="24"/>
          <w:vertAlign w:val="superscript"/>
        </w:rPr>
        <w:t>4,5</w:t>
      </w:r>
    </w:p>
    <w:p w:rsidR="0021654A" w:rsidRPr="00127CD1" w:rsidP="0021654A">
      <w:pPr>
        <w:spacing w:line="276" w:lineRule="auto"/>
        <w:jc w:val="both"/>
        <w:rPr>
          <w:rStyle w:val="st"/>
          <w:rFonts w:asciiTheme="majorHAnsi" w:hAnsiTheme="majorHAnsi" w:cstheme="majorHAnsi"/>
          <w:sz w:val="24"/>
          <w:szCs w:val="24"/>
        </w:rPr>
      </w:pPr>
      <w:r w:rsidRPr="00127CD1">
        <w:rPr>
          <w:rStyle w:val="st"/>
          <w:rFonts w:asciiTheme="majorHAnsi" w:hAnsiTheme="majorHAnsi" w:cstheme="majorHAnsi"/>
          <w:sz w:val="24"/>
          <w:szCs w:val="24"/>
        </w:rPr>
        <w:t>The two closely watched consumer confidence benchmarks went different wa</w:t>
      </w:r>
      <w:r w:rsidRPr="00127CD1">
        <w:rPr>
          <w:rStyle w:val="st"/>
          <w:rFonts w:asciiTheme="majorHAnsi" w:hAnsiTheme="majorHAnsi" w:cstheme="majorHAnsi"/>
          <w:sz w:val="24"/>
          <w:szCs w:val="24"/>
        </w:rPr>
        <w:t xml:space="preserve">ys in December. Ascending from a final November mark of 96.8, the University of Michigan’s </w:t>
      </w:r>
      <w:r>
        <w:rPr>
          <w:rStyle w:val="st"/>
          <w:rFonts w:asciiTheme="majorHAnsi" w:hAnsiTheme="majorHAnsi" w:cstheme="majorHAnsi"/>
          <w:sz w:val="24"/>
          <w:szCs w:val="24"/>
        </w:rPr>
        <w:t>C</w:t>
      </w:r>
      <w:r w:rsidRPr="00127CD1">
        <w:rPr>
          <w:rStyle w:val="st"/>
          <w:rFonts w:asciiTheme="majorHAnsi" w:hAnsiTheme="majorHAnsi" w:cstheme="majorHAnsi"/>
          <w:sz w:val="24"/>
          <w:szCs w:val="24"/>
        </w:rPr>
        <w:t xml:space="preserve">onsumer </w:t>
      </w:r>
      <w:r>
        <w:rPr>
          <w:rStyle w:val="st"/>
          <w:rFonts w:asciiTheme="majorHAnsi" w:hAnsiTheme="majorHAnsi" w:cstheme="majorHAnsi"/>
          <w:sz w:val="24"/>
          <w:szCs w:val="24"/>
        </w:rPr>
        <w:t>S</w:t>
      </w:r>
      <w:r w:rsidRPr="00127CD1">
        <w:rPr>
          <w:rStyle w:val="st"/>
          <w:rFonts w:asciiTheme="majorHAnsi" w:hAnsiTheme="majorHAnsi" w:cstheme="majorHAnsi"/>
          <w:sz w:val="24"/>
          <w:szCs w:val="24"/>
        </w:rPr>
        <w:t xml:space="preserve">entiment </w:t>
      </w:r>
      <w:r>
        <w:rPr>
          <w:rStyle w:val="st"/>
          <w:rFonts w:asciiTheme="majorHAnsi" w:hAnsiTheme="majorHAnsi" w:cstheme="majorHAnsi"/>
          <w:sz w:val="24"/>
          <w:szCs w:val="24"/>
        </w:rPr>
        <w:t>I</w:t>
      </w:r>
      <w:r w:rsidRPr="00127CD1">
        <w:rPr>
          <w:rStyle w:val="st"/>
          <w:rFonts w:asciiTheme="majorHAnsi" w:hAnsiTheme="majorHAnsi" w:cstheme="majorHAnsi"/>
          <w:sz w:val="24"/>
          <w:szCs w:val="24"/>
        </w:rPr>
        <w:t>ndex finished December at 99.3. The Conference Board’s index came in at 126.5, down from 126.8 a month before.</w:t>
      </w:r>
      <w:r w:rsidRPr="00127CD1">
        <w:rPr>
          <w:rStyle w:val="st"/>
          <w:rFonts w:asciiTheme="majorHAnsi" w:hAnsiTheme="majorHAnsi" w:cstheme="majorHAnsi"/>
          <w:sz w:val="24"/>
          <w:szCs w:val="24"/>
          <w:vertAlign w:val="superscript"/>
        </w:rPr>
        <w:t>4,6</w:t>
      </w:r>
    </w:p>
    <w:p w:rsidR="0021654A" w:rsidRPr="001F7726" w:rsidP="0021654A">
      <w:pPr>
        <w:spacing w:line="276" w:lineRule="auto"/>
        <w:jc w:val="both"/>
        <w:rPr>
          <w:rStyle w:val="st"/>
          <w:rFonts w:asciiTheme="majorHAnsi" w:hAnsiTheme="majorHAnsi" w:cstheme="majorHAnsi"/>
          <w:sz w:val="24"/>
          <w:szCs w:val="24"/>
        </w:rPr>
      </w:pPr>
      <w:r w:rsidRPr="001F7726">
        <w:rPr>
          <w:rStyle w:val="st"/>
          <w:rFonts w:asciiTheme="majorHAnsi" w:hAnsiTheme="majorHAnsi" w:cstheme="majorHAnsi"/>
          <w:sz w:val="24"/>
          <w:szCs w:val="24"/>
        </w:rPr>
        <w:t>Activity in America’s factory s</w:t>
      </w:r>
      <w:r w:rsidRPr="001F7726">
        <w:rPr>
          <w:rStyle w:val="st"/>
          <w:rFonts w:asciiTheme="majorHAnsi" w:hAnsiTheme="majorHAnsi" w:cstheme="majorHAnsi"/>
          <w:sz w:val="24"/>
          <w:szCs w:val="24"/>
        </w:rPr>
        <w:t xml:space="preserve">ector </w:t>
      </w:r>
      <w:r>
        <w:rPr>
          <w:rStyle w:val="st"/>
          <w:rFonts w:asciiTheme="majorHAnsi" w:hAnsiTheme="majorHAnsi" w:cstheme="majorHAnsi"/>
          <w:sz w:val="24"/>
          <w:szCs w:val="24"/>
        </w:rPr>
        <w:t xml:space="preserve">had </w:t>
      </w:r>
      <w:r w:rsidRPr="001F7726">
        <w:rPr>
          <w:rStyle w:val="st"/>
          <w:rFonts w:asciiTheme="majorHAnsi" w:hAnsiTheme="majorHAnsi" w:cstheme="majorHAnsi"/>
          <w:sz w:val="24"/>
          <w:szCs w:val="24"/>
        </w:rPr>
        <w:t xml:space="preserve">slowed in November, a bit more than it </w:t>
      </w:r>
      <w:r>
        <w:rPr>
          <w:rStyle w:val="st"/>
          <w:rFonts w:asciiTheme="majorHAnsi" w:hAnsiTheme="majorHAnsi" w:cstheme="majorHAnsi"/>
          <w:sz w:val="24"/>
          <w:szCs w:val="24"/>
        </w:rPr>
        <w:t>di</w:t>
      </w:r>
      <w:r w:rsidRPr="001F7726">
        <w:rPr>
          <w:rStyle w:val="st"/>
          <w:rFonts w:asciiTheme="majorHAnsi" w:hAnsiTheme="majorHAnsi" w:cstheme="majorHAnsi"/>
          <w:sz w:val="24"/>
          <w:szCs w:val="24"/>
        </w:rPr>
        <w:t xml:space="preserve">d in October. That was the conclusion economists drew from the latest manufacturing </w:t>
      </w:r>
      <w:r>
        <w:rPr>
          <w:rStyle w:val="st"/>
          <w:rFonts w:asciiTheme="majorHAnsi" w:hAnsiTheme="majorHAnsi" w:cstheme="majorHAnsi"/>
          <w:sz w:val="24"/>
          <w:szCs w:val="24"/>
        </w:rPr>
        <w:t>P</w:t>
      </w:r>
      <w:r w:rsidRPr="001F7726">
        <w:rPr>
          <w:rStyle w:val="st"/>
          <w:rFonts w:asciiTheme="majorHAnsi" w:hAnsiTheme="majorHAnsi" w:cstheme="majorHAnsi"/>
          <w:sz w:val="24"/>
          <w:szCs w:val="24"/>
        </w:rPr>
        <w:t xml:space="preserve">urchasing </w:t>
      </w:r>
      <w:r>
        <w:rPr>
          <w:rStyle w:val="st"/>
          <w:rFonts w:asciiTheme="majorHAnsi" w:hAnsiTheme="majorHAnsi" w:cstheme="majorHAnsi"/>
          <w:sz w:val="24"/>
          <w:szCs w:val="24"/>
        </w:rPr>
        <w:t>M</w:t>
      </w:r>
      <w:r w:rsidRPr="001F7726">
        <w:rPr>
          <w:rStyle w:val="st"/>
          <w:rFonts w:asciiTheme="majorHAnsi" w:hAnsiTheme="majorHAnsi" w:cstheme="majorHAnsi"/>
          <w:sz w:val="24"/>
          <w:szCs w:val="24"/>
        </w:rPr>
        <w:t xml:space="preserve">anagers </w:t>
      </w:r>
      <w:r>
        <w:rPr>
          <w:rStyle w:val="st"/>
          <w:rFonts w:asciiTheme="majorHAnsi" w:hAnsiTheme="majorHAnsi" w:cstheme="majorHAnsi"/>
          <w:sz w:val="24"/>
          <w:szCs w:val="24"/>
        </w:rPr>
        <w:t>I</w:t>
      </w:r>
      <w:r w:rsidRPr="001F7726">
        <w:rPr>
          <w:rStyle w:val="st"/>
          <w:rFonts w:asciiTheme="majorHAnsi" w:hAnsiTheme="majorHAnsi" w:cstheme="majorHAnsi"/>
          <w:sz w:val="24"/>
          <w:szCs w:val="24"/>
        </w:rPr>
        <w:t>ndex from the Institute for Supply Management, which had a November reading of 48.1, down 0.2 points</w:t>
      </w:r>
      <w:r w:rsidRPr="001F7726">
        <w:rPr>
          <w:rStyle w:val="st"/>
          <w:rFonts w:asciiTheme="majorHAnsi" w:hAnsiTheme="majorHAnsi" w:cstheme="majorHAnsi"/>
          <w:sz w:val="24"/>
          <w:szCs w:val="24"/>
        </w:rPr>
        <w:t xml:space="preserve"> from a month earlier. ISM’s November </w:t>
      </w:r>
      <w:r>
        <w:rPr>
          <w:rStyle w:val="st"/>
          <w:rFonts w:asciiTheme="majorHAnsi" w:hAnsiTheme="majorHAnsi" w:cstheme="majorHAnsi"/>
          <w:sz w:val="24"/>
          <w:szCs w:val="24"/>
        </w:rPr>
        <w:t>N</w:t>
      </w:r>
      <w:r w:rsidRPr="001F7726">
        <w:rPr>
          <w:rStyle w:val="st"/>
          <w:rFonts w:asciiTheme="majorHAnsi" w:hAnsiTheme="majorHAnsi" w:cstheme="majorHAnsi"/>
          <w:sz w:val="24"/>
          <w:szCs w:val="24"/>
        </w:rPr>
        <w:t>on-</w:t>
      </w:r>
      <w:r>
        <w:rPr>
          <w:rStyle w:val="st"/>
          <w:rFonts w:asciiTheme="majorHAnsi" w:hAnsiTheme="majorHAnsi" w:cstheme="majorHAnsi"/>
          <w:sz w:val="24"/>
          <w:szCs w:val="24"/>
        </w:rPr>
        <w:t>M</w:t>
      </w:r>
      <w:r w:rsidRPr="001F7726">
        <w:rPr>
          <w:rStyle w:val="st"/>
          <w:rFonts w:asciiTheme="majorHAnsi" w:hAnsiTheme="majorHAnsi" w:cstheme="majorHAnsi"/>
          <w:sz w:val="24"/>
          <w:szCs w:val="24"/>
        </w:rPr>
        <w:t>anufacturing PMI came in at 53.9, as opposed to 54.7 in October; any number above 50 indicates sector growth.</w:t>
      </w:r>
      <w:r w:rsidRPr="001F7726">
        <w:rPr>
          <w:rStyle w:val="st"/>
          <w:rFonts w:asciiTheme="majorHAnsi" w:hAnsiTheme="majorHAnsi" w:cstheme="majorHAnsi"/>
          <w:sz w:val="24"/>
          <w:szCs w:val="24"/>
          <w:vertAlign w:val="superscript"/>
        </w:rPr>
        <w:t>4</w:t>
      </w:r>
    </w:p>
    <w:p w:rsidR="0021654A" w:rsidRPr="00FA50F5" w:rsidP="0021654A">
      <w:pPr>
        <w:spacing w:line="276" w:lineRule="auto"/>
        <w:jc w:val="both"/>
        <w:rPr>
          <w:rStyle w:val="st"/>
          <w:rFonts w:asciiTheme="majorHAnsi" w:hAnsiTheme="majorHAnsi"/>
          <w:sz w:val="24"/>
          <w:szCs w:val="24"/>
          <w:vertAlign w:val="superscript"/>
        </w:rPr>
      </w:pPr>
      <w:r w:rsidRPr="00FA50F5">
        <w:rPr>
          <w:rStyle w:val="st"/>
          <w:rFonts w:asciiTheme="majorHAnsi" w:hAnsiTheme="majorHAnsi" w:cstheme="majorHAnsi"/>
          <w:sz w:val="24"/>
          <w:szCs w:val="24"/>
        </w:rPr>
        <w:t>At mid-month, the University of Michigan polled households to determine what they thought the inflatio</w:t>
      </w:r>
      <w:r w:rsidRPr="00FA50F5">
        <w:rPr>
          <w:rStyle w:val="st"/>
          <w:rFonts w:asciiTheme="majorHAnsi" w:hAnsiTheme="majorHAnsi" w:cstheme="majorHAnsi"/>
          <w:sz w:val="24"/>
          <w:szCs w:val="24"/>
        </w:rPr>
        <w:t>n rate would be over the next five years. The consumer consensus was 2.3%, and that was higher than the 2.1% headline inflation shown in the federal government’s latest Consumer Price Index (November). That 2.3% estimate did precisely match annualized core</w:t>
      </w:r>
      <w:r w:rsidRPr="00FA50F5">
        <w:rPr>
          <w:rStyle w:val="st"/>
          <w:rFonts w:asciiTheme="majorHAnsi" w:hAnsiTheme="majorHAnsi" w:cstheme="majorHAnsi"/>
          <w:sz w:val="24"/>
          <w:szCs w:val="24"/>
        </w:rPr>
        <w:t xml:space="preserve"> inflation through November (the core </w:t>
      </w:r>
      <w:r>
        <w:rPr>
          <w:rStyle w:val="st"/>
          <w:rFonts w:asciiTheme="majorHAnsi" w:hAnsiTheme="majorHAnsi" w:cstheme="majorHAnsi"/>
          <w:sz w:val="24"/>
          <w:szCs w:val="24"/>
        </w:rPr>
        <w:t>CPI</w:t>
      </w:r>
      <w:r w:rsidRPr="00FA50F5">
        <w:rPr>
          <w:rStyle w:val="st"/>
          <w:rFonts w:asciiTheme="majorHAnsi" w:hAnsiTheme="majorHAnsi" w:cstheme="majorHAnsi"/>
          <w:sz w:val="24"/>
          <w:szCs w:val="24"/>
        </w:rPr>
        <w:t xml:space="preserve"> factors out volatile food and energy costs).</w:t>
      </w:r>
      <w:r w:rsidRPr="00FA50F5">
        <w:rPr>
          <w:rStyle w:val="st"/>
          <w:rFonts w:asciiTheme="majorHAnsi" w:hAnsiTheme="majorHAnsi"/>
          <w:sz w:val="24"/>
          <w:szCs w:val="24"/>
          <w:vertAlign w:val="superscript"/>
        </w:rPr>
        <w:t>4</w:t>
      </w:r>
    </w:p>
    <w:p w:rsidR="0021654A" w:rsidRPr="006229B4" w:rsidP="0021654A">
      <w:pPr>
        <w:spacing w:line="276" w:lineRule="auto"/>
        <w:jc w:val="both"/>
        <w:rPr>
          <w:rStyle w:val="st"/>
          <w:rFonts w:asciiTheme="majorHAnsi" w:hAnsiTheme="majorHAnsi"/>
          <w:color w:val="002060"/>
          <w:sz w:val="24"/>
          <w:szCs w:val="24"/>
          <w:vertAlign w:val="superscript"/>
        </w:rPr>
      </w:pPr>
      <w:r w:rsidRPr="00FA50F5">
        <w:rPr>
          <w:rStyle w:val="st"/>
          <w:rFonts w:asciiTheme="majorHAnsi" w:hAnsiTheme="majorHAnsi" w:cstheme="majorHAnsi"/>
          <w:sz w:val="24"/>
          <w:szCs w:val="24"/>
        </w:rPr>
        <w:t xml:space="preserve">In late December, President Trump signed the Setting Every Community Up for Retirement </w:t>
      </w:r>
      <w:r w:rsidRPr="001C37A3">
        <w:rPr>
          <w:rStyle w:val="st"/>
          <w:rFonts w:asciiTheme="majorHAnsi" w:hAnsiTheme="majorHAnsi" w:cstheme="majorHAnsi"/>
          <w:sz w:val="24"/>
          <w:szCs w:val="24"/>
        </w:rPr>
        <w:t>Enhancement (SECURE) Act into law. The SECURE Act raises the age fo</w:t>
      </w:r>
      <w:r w:rsidRPr="000E1C76">
        <w:rPr>
          <w:rStyle w:val="st"/>
          <w:rFonts w:asciiTheme="majorHAnsi" w:hAnsiTheme="majorHAnsi" w:cstheme="majorHAnsi"/>
          <w:sz w:val="24"/>
          <w:szCs w:val="24"/>
        </w:rPr>
        <w:t xml:space="preserve">r Required Minimum Distributions (RMDs) from traditional retirement accounts from 70½ to 72 (this new rule applies only to </w:t>
      </w:r>
      <w:r>
        <w:rPr>
          <w:rStyle w:val="st"/>
          <w:rFonts w:asciiTheme="majorHAnsi" w:hAnsiTheme="majorHAnsi" w:cstheme="majorHAnsi"/>
          <w:sz w:val="24"/>
          <w:szCs w:val="24"/>
        </w:rPr>
        <w:t>individuals</w:t>
      </w:r>
      <w:r w:rsidRPr="000E1C76">
        <w:rPr>
          <w:rStyle w:val="st"/>
          <w:rFonts w:asciiTheme="majorHAnsi" w:hAnsiTheme="majorHAnsi" w:cstheme="majorHAnsi"/>
          <w:sz w:val="24"/>
          <w:szCs w:val="24"/>
        </w:rPr>
        <w:t xml:space="preserve"> who turn 70½ in 2020 or later). It also allows seniors with earned income to continue contributing to traditional retirem</w:t>
      </w:r>
      <w:r w:rsidRPr="000E1C76">
        <w:rPr>
          <w:rStyle w:val="st"/>
          <w:rFonts w:asciiTheme="majorHAnsi" w:hAnsiTheme="majorHAnsi" w:cstheme="majorHAnsi"/>
          <w:sz w:val="24"/>
          <w:szCs w:val="24"/>
        </w:rPr>
        <w:t>ent accounts after age 70½.</w:t>
      </w:r>
      <w:r>
        <w:rPr>
          <w:rStyle w:val="st"/>
          <w:rFonts w:asciiTheme="majorHAnsi" w:hAnsiTheme="majorHAnsi"/>
          <w:sz w:val="24"/>
          <w:szCs w:val="24"/>
          <w:vertAlign w:val="superscript"/>
        </w:rPr>
        <w:t>7</w:t>
      </w:r>
    </w:p>
    <w:p w:rsidR="0021654A" w:rsidRPr="00DD38C0" w:rsidP="0021654A">
      <w:pPr>
        <w:spacing w:line="276" w:lineRule="auto"/>
        <w:jc w:val="both"/>
        <w:rPr>
          <w:rFonts w:asciiTheme="majorHAnsi" w:hAnsiTheme="majorHAnsi"/>
          <w:sz w:val="6"/>
          <w:szCs w:val="24"/>
        </w:rPr>
      </w:pPr>
    </w:p>
    <w:p w:rsidR="0021654A" w:rsidRPr="00775662" w:rsidP="0021654A">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rsidR="0021654A" w:rsidRPr="00F77377" w:rsidP="0021654A">
      <w:pPr>
        <w:spacing w:line="276" w:lineRule="auto"/>
        <w:jc w:val="both"/>
        <w:rPr>
          <w:rFonts w:asciiTheme="majorHAnsi" w:hAnsiTheme="majorHAnsi"/>
          <w:sz w:val="24"/>
          <w:szCs w:val="24"/>
        </w:rPr>
      </w:pPr>
      <w:r w:rsidRPr="00831C58">
        <w:rPr>
          <w:rFonts w:asciiTheme="majorHAnsi" w:hAnsiTheme="majorHAnsi"/>
          <w:sz w:val="24"/>
          <w:szCs w:val="24"/>
        </w:rPr>
        <w:t xml:space="preserve">Boris Johnson won a landslide victory in the United Kingdom’s December general election, </w:t>
      </w:r>
      <w:r>
        <w:rPr>
          <w:rFonts w:asciiTheme="majorHAnsi" w:hAnsiTheme="majorHAnsi"/>
          <w:sz w:val="24"/>
          <w:szCs w:val="24"/>
        </w:rPr>
        <w:t>and</w:t>
      </w:r>
      <w:r w:rsidRPr="00831C58">
        <w:rPr>
          <w:rFonts w:asciiTheme="majorHAnsi" w:hAnsiTheme="majorHAnsi"/>
          <w:sz w:val="24"/>
          <w:szCs w:val="24"/>
        </w:rPr>
        <w:t xml:space="preserve"> the Conservative Party w</w:t>
      </w:r>
      <w:r>
        <w:rPr>
          <w:rFonts w:asciiTheme="majorHAnsi" w:hAnsiTheme="majorHAnsi"/>
          <w:sz w:val="24"/>
          <w:szCs w:val="24"/>
        </w:rPr>
        <w:t>on</w:t>
      </w:r>
      <w:r w:rsidRPr="00831C58">
        <w:rPr>
          <w:rFonts w:asciiTheme="majorHAnsi" w:hAnsiTheme="majorHAnsi"/>
          <w:sz w:val="24"/>
          <w:szCs w:val="24"/>
        </w:rPr>
        <w:t xml:space="preserve"> more seats in Parliament than it had at any time since the late 1980s. </w:t>
      </w:r>
      <w:r>
        <w:rPr>
          <w:rFonts w:asciiTheme="majorHAnsi" w:hAnsiTheme="majorHAnsi"/>
          <w:sz w:val="24"/>
          <w:szCs w:val="24"/>
        </w:rPr>
        <w:t>Because of t</w:t>
      </w:r>
      <w:r>
        <w:rPr>
          <w:rFonts w:asciiTheme="majorHAnsi" w:hAnsiTheme="majorHAnsi"/>
          <w:sz w:val="24"/>
          <w:szCs w:val="24"/>
        </w:rPr>
        <w:t>hese developments</w:t>
      </w:r>
      <w:r w:rsidRPr="00831C58">
        <w:rPr>
          <w:rFonts w:asciiTheme="majorHAnsi" w:hAnsiTheme="majorHAnsi"/>
          <w:sz w:val="24"/>
          <w:szCs w:val="24"/>
        </w:rPr>
        <w:t>, the U.K. appears poised to meet its January 31 deadline for the Brexit. If the Brexit occurs this month, the U.K. and the European Union will face a joint challenge: meeting a December 31 deadline to solidify a</w:t>
      </w:r>
      <w:r>
        <w:rPr>
          <w:rFonts w:asciiTheme="majorHAnsi" w:hAnsiTheme="majorHAnsi"/>
          <w:sz w:val="24"/>
          <w:szCs w:val="24"/>
        </w:rPr>
        <w:t xml:space="preserve"> new, lasting</w:t>
      </w:r>
      <w:r w:rsidRPr="00831C58">
        <w:rPr>
          <w:rFonts w:asciiTheme="majorHAnsi" w:hAnsiTheme="majorHAnsi"/>
          <w:sz w:val="24"/>
          <w:szCs w:val="24"/>
        </w:rPr>
        <w:t xml:space="preserve"> trade deal between both parties. The E.U. has already cautioned the U.K. that </w:t>
      </w:r>
      <w:r>
        <w:rPr>
          <w:rFonts w:asciiTheme="majorHAnsi" w:hAnsiTheme="majorHAnsi"/>
          <w:sz w:val="24"/>
          <w:szCs w:val="24"/>
        </w:rPr>
        <w:t>a year</w:t>
      </w:r>
      <w:r w:rsidRPr="00831C58">
        <w:rPr>
          <w:rFonts w:asciiTheme="majorHAnsi" w:hAnsiTheme="majorHAnsi"/>
          <w:sz w:val="24"/>
          <w:szCs w:val="24"/>
        </w:rPr>
        <w:t xml:space="preserve"> may not be enough time to do this, and if that proves true, the U.K. would have two choices: </w:t>
      </w:r>
      <w:r>
        <w:rPr>
          <w:rFonts w:asciiTheme="majorHAnsi" w:hAnsiTheme="majorHAnsi"/>
          <w:sz w:val="24"/>
          <w:szCs w:val="24"/>
        </w:rPr>
        <w:t xml:space="preserve">it could </w:t>
      </w:r>
      <w:r w:rsidRPr="00831C58">
        <w:rPr>
          <w:rFonts w:asciiTheme="majorHAnsi" w:hAnsiTheme="majorHAnsi"/>
          <w:sz w:val="24"/>
          <w:szCs w:val="24"/>
        </w:rPr>
        <w:t xml:space="preserve">ask for an extension of the Brexit transition period, or </w:t>
      </w:r>
      <w:r>
        <w:rPr>
          <w:rFonts w:asciiTheme="majorHAnsi" w:hAnsiTheme="majorHAnsi"/>
          <w:sz w:val="24"/>
          <w:szCs w:val="24"/>
        </w:rPr>
        <w:t xml:space="preserve">it could </w:t>
      </w:r>
      <w:r w:rsidRPr="00831C58">
        <w:rPr>
          <w:rFonts w:asciiTheme="majorHAnsi" w:hAnsiTheme="majorHAnsi"/>
          <w:sz w:val="24"/>
          <w:szCs w:val="24"/>
        </w:rPr>
        <w:t>ma</w:t>
      </w:r>
      <w:r w:rsidRPr="00831C58">
        <w:rPr>
          <w:rFonts w:asciiTheme="majorHAnsi" w:hAnsiTheme="majorHAnsi"/>
          <w:sz w:val="24"/>
          <w:szCs w:val="24"/>
        </w:rPr>
        <w:t xml:space="preserve">ke a “hard” </w:t>
      </w:r>
      <w:r w:rsidRPr="00F77377">
        <w:rPr>
          <w:rFonts w:asciiTheme="majorHAnsi" w:hAnsiTheme="majorHAnsi"/>
          <w:sz w:val="24"/>
          <w:szCs w:val="24"/>
        </w:rPr>
        <w:t xml:space="preserve">Brexit, which </w:t>
      </w:r>
      <w:r>
        <w:rPr>
          <w:rFonts w:asciiTheme="majorHAnsi" w:hAnsiTheme="majorHAnsi"/>
          <w:sz w:val="24"/>
          <w:szCs w:val="24"/>
        </w:rPr>
        <w:t>might</w:t>
      </w:r>
      <w:r w:rsidRPr="00F77377">
        <w:rPr>
          <w:rFonts w:asciiTheme="majorHAnsi" w:hAnsiTheme="majorHAnsi"/>
          <w:sz w:val="24"/>
          <w:szCs w:val="24"/>
        </w:rPr>
        <w:t xml:space="preserve"> amount to an economic shock for </w:t>
      </w:r>
      <w:r>
        <w:rPr>
          <w:rFonts w:asciiTheme="majorHAnsi" w:hAnsiTheme="majorHAnsi"/>
          <w:sz w:val="24"/>
          <w:szCs w:val="24"/>
        </w:rPr>
        <w:t xml:space="preserve">both </w:t>
      </w:r>
      <w:r w:rsidRPr="00F77377">
        <w:rPr>
          <w:rFonts w:asciiTheme="majorHAnsi" w:hAnsiTheme="majorHAnsi"/>
          <w:sz w:val="24"/>
          <w:szCs w:val="24"/>
        </w:rPr>
        <w:t>the U.K. and the E.U.</w:t>
      </w:r>
      <w:r>
        <w:rPr>
          <w:rFonts w:asciiTheme="majorHAnsi" w:hAnsiTheme="majorHAnsi"/>
          <w:sz w:val="24"/>
          <w:szCs w:val="24"/>
          <w:vertAlign w:val="superscript"/>
        </w:rPr>
        <w:t>8</w:t>
      </w:r>
    </w:p>
    <w:p w:rsidR="0021654A" w:rsidRPr="00C3692B" w:rsidP="0021654A">
      <w:pPr>
        <w:spacing w:line="276" w:lineRule="auto"/>
        <w:jc w:val="both"/>
        <w:rPr>
          <w:rFonts w:asciiTheme="majorHAnsi" w:hAnsiTheme="majorHAnsi"/>
          <w:sz w:val="24"/>
          <w:szCs w:val="24"/>
        </w:rPr>
      </w:pPr>
      <w:r w:rsidRPr="00F77377">
        <w:rPr>
          <w:rFonts w:asciiTheme="majorHAnsi" w:hAnsiTheme="majorHAnsi"/>
          <w:sz w:val="24"/>
          <w:szCs w:val="24"/>
        </w:rPr>
        <w:t xml:space="preserve">Could China’s economy expand less than 6% this year? Last month, a Nikkei survey of 26 Asian economists arrived at a consensus forecast of 5.9% growth for </w:t>
      </w:r>
      <w:r>
        <w:rPr>
          <w:rFonts w:asciiTheme="majorHAnsi" w:hAnsiTheme="majorHAnsi"/>
          <w:sz w:val="24"/>
          <w:szCs w:val="24"/>
        </w:rPr>
        <w:t xml:space="preserve">China in </w:t>
      </w:r>
      <w:r w:rsidRPr="00F77377">
        <w:rPr>
          <w:rFonts w:asciiTheme="majorHAnsi" w:hAnsiTheme="majorHAnsi"/>
          <w:sz w:val="24"/>
          <w:szCs w:val="24"/>
        </w:rPr>
        <w:t>2020 and 5.7% growth in 2021. Tariffs are but one potential economic drag for the P.R.C.; others include weakening business and real estate investment</w:t>
      </w:r>
      <w:r>
        <w:rPr>
          <w:rFonts w:asciiTheme="majorHAnsi" w:hAnsiTheme="majorHAnsi"/>
          <w:sz w:val="24"/>
          <w:szCs w:val="24"/>
        </w:rPr>
        <w:t xml:space="preserve"> as well as</w:t>
      </w:r>
      <w:r w:rsidRPr="00F77377">
        <w:rPr>
          <w:rFonts w:asciiTheme="majorHAnsi" w:hAnsiTheme="majorHAnsi"/>
          <w:sz w:val="24"/>
          <w:szCs w:val="24"/>
        </w:rPr>
        <w:t xml:space="preserve"> a declining working-age population. Some </w:t>
      </w:r>
      <w:r>
        <w:rPr>
          <w:rFonts w:asciiTheme="majorHAnsi" w:hAnsiTheme="majorHAnsi"/>
          <w:sz w:val="24"/>
          <w:szCs w:val="24"/>
        </w:rPr>
        <w:t xml:space="preserve">of the </w:t>
      </w:r>
      <w:r w:rsidRPr="00F77377">
        <w:rPr>
          <w:rFonts w:asciiTheme="majorHAnsi" w:hAnsiTheme="majorHAnsi"/>
          <w:sz w:val="24"/>
          <w:szCs w:val="24"/>
        </w:rPr>
        <w:t xml:space="preserve">economists </w:t>
      </w:r>
      <w:r>
        <w:rPr>
          <w:rFonts w:asciiTheme="majorHAnsi" w:hAnsiTheme="majorHAnsi"/>
          <w:sz w:val="24"/>
          <w:szCs w:val="24"/>
        </w:rPr>
        <w:t xml:space="preserve">Nikkei polled </w:t>
      </w:r>
      <w:r w:rsidRPr="00F77377">
        <w:rPr>
          <w:rFonts w:asciiTheme="majorHAnsi" w:hAnsiTheme="majorHAnsi"/>
          <w:sz w:val="24"/>
          <w:szCs w:val="24"/>
        </w:rPr>
        <w:t xml:space="preserve">thought </w:t>
      </w:r>
      <w:r>
        <w:rPr>
          <w:rFonts w:asciiTheme="majorHAnsi" w:hAnsiTheme="majorHAnsi"/>
          <w:sz w:val="24"/>
          <w:szCs w:val="24"/>
        </w:rPr>
        <w:t>these</w:t>
      </w:r>
      <w:r w:rsidRPr="00F77377">
        <w:rPr>
          <w:rFonts w:asciiTheme="majorHAnsi" w:hAnsiTheme="majorHAnsi"/>
          <w:sz w:val="24"/>
          <w:szCs w:val="24"/>
        </w:rPr>
        <w:t xml:space="preserve"> conditi</w:t>
      </w:r>
      <w:r w:rsidRPr="00F77377">
        <w:rPr>
          <w:rFonts w:asciiTheme="majorHAnsi" w:hAnsiTheme="majorHAnsi"/>
          <w:sz w:val="24"/>
          <w:szCs w:val="24"/>
        </w:rPr>
        <w:t>ons would</w:t>
      </w:r>
      <w:r w:rsidRPr="00C3692B">
        <w:rPr>
          <w:rFonts w:asciiTheme="majorHAnsi" w:hAnsiTheme="majorHAnsi"/>
          <w:sz w:val="24"/>
          <w:szCs w:val="24"/>
        </w:rPr>
        <w:t xml:space="preserve"> </w:t>
      </w:r>
      <w:r>
        <w:rPr>
          <w:rFonts w:asciiTheme="majorHAnsi" w:hAnsiTheme="majorHAnsi"/>
          <w:sz w:val="24"/>
          <w:szCs w:val="24"/>
        </w:rPr>
        <w:t>motivate</w:t>
      </w:r>
      <w:r w:rsidRPr="00C3692B">
        <w:rPr>
          <w:rFonts w:asciiTheme="majorHAnsi" w:hAnsiTheme="majorHAnsi"/>
          <w:sz w:val="24"/>
          <w:szCs w:val="24"/>
        </w:rPr>
        <w:t xml:space="preserve"> China’s central bank </w:t>
      </w:r>
      <w:r>
        <w:rPr>
          <w:rFonts w:asciiTheme="majorHAnsi" w:hAnsiTheme="majorHAnsi"/>
          <w:sz w:val="24"/>
          <w:szCs w:val="24"/>
        </w:rPr>
        <w:t>to cut</w:t>
      </w:r>
      <w:r w:rsidRPr="00C3692B">
        <w:rPr>
          <w:rFonts w:asciiTheme="majorHAnsi" w:hAnsiTheme="majorHAnsi"/>
          <w:sz w:val="24"/>
          <w:szCs w:val="24"/>
        </w:rPr>
        <w:t xml:space="preserve"> interest rate</w:t>
      </w:r>
      <w:r>
        <w:rPr>
          <w:rFonts w:asciiTheme="majorHAnsi" w:hAnsiTheme="majorHAnsi"/>
          <w:sz w:val="24"/>
          <w:szCs w:val="24"/>
        </w:rPr>
        <w:t>s this year</w:t>
      </w:r>
      <w:r w:rsidRPr="00C3692B">
        <w:rPr>
          <w:rFonts w:asciiTheme="majorHAnsi" w:hAnsiTheme="majorHAnsi"/>
          <w:sz w:val="24"/>
          <w:szCs w:val="24"/>
        </w:rPr>
        <w:t>.</w:t>
      </w:r>
      <w:r>
        <w:rPr>
          <w:rFonts w:asciiTheme="majorHAnsi" w:hAnsiTheme="majorHAnsi"/>
          <w:sz w:val="24"/>
          <w:szCs w:val="24"/>
          <w:vertAlign w:val="superscript"/>
        </w:rPr>
        <w:t>9</w:t>
      </w:r>
    </w:p>
    <w:p w:rsidR="0021654A" w:rsidRPr="00C3692B" w:rsidP="0021654A">
      <w:pPr>
        <w:spacing w:line="276" w:lineRule="auto"/>
        <w:jc w:val="both"/>
        <w:rPr>
          <w:rFonts w:asciiTheme="majorHAnsi" w:hAnsiTheme="majorHAnsi"/>
          <w:sz w:val="24"/>
          <w:szCs w:val="24"/>
          <w:vertAlign w:val="superscript"/>
        </w:rPr>
      </w:pPr>
      <w:r w:rsidRPr="00C3692B">
        <w:rPr>
          <w:rFonts w:asciiTheme="majorHAnsi" w:hAnsiTheme="majorHAnsi"/>
          <w:sz w:val="24"/>
          <w:szCs w:val="24"/>
        </w:rPr>
        <w:t xml:space="preserve">Looking back on 2019, the International Monetary Fund notes that gross domestic product in the </w:t>
      </w:r>
      <w:r>
        <w:rPr>
          <w:rFonts w:asciiTheme="majorHAnsi" w:hAnsiTheme="majorHAnsi"/>
          <w:sz w:val="24"/>
          <w:szCs w:val="24"/>
        </w:rPr>
        <w:t>e</w:t>
      </w:r>
      <w:r w:rsidRPr="00C3692B">
        <w:rPr>
          <w:rFonts w:asciiTheme="majorHAnsi" w:hAnsiTheme="majorHAnsi"/>
          <w:sz w:val="24"/>
          <w:szCs w:val="24"/>
        </w:rPr>
        <w:t xml:space="preserve">uro </w:t>
      </w:r>
      <w:r>
        <w:rPr>
          <w:rFonts w:asciiTheme="majorHAnsi" w:hAnsiTheme="majorHAnsi"/>
          <w:sz w:val="24"/>
          <w:szCs w:val="24"/>
        </w:rPr>
        <w:t>a</w:t>
      </w:r>
      <w:r w:rsidRPr="00C3692B">
        <w:rPr>
          <w:rFonts w:asciiTheme="majorHAnsi" w:hAnsiTheme="majorHAnsi"/>
          <w:sz w:val="24"/>
          <w:szCs w:val="24"/>
        </w:rPr>
        <w:t xml:space="preserve">rea and the United States fell about 1% from 2018 levels. </w:t>
      </w:r>
      <w:r>
        <w:rPr>
          <w:rFonts w:asciiTheme="majorHAnsi" w:hAnsiTheme="majorHAnsi"/>
          <w:sz w:val="24"/>
          <w:szCs w:val="24"/>
        </w:rPr>
        <w:t>Worldwide, less</w:t>
      </w:r>
      <w:r w:rsidRPr="00C3692B">
        <w:rPr>
          <w:rFonts w:asciiTheme="majorHAnsi" w:hAnsiTheme="majorHAnsi"/>
          <w:sz w:val="24"/>
          <w:szCs w:val="24"/>
        </w:rPr>
        <w:t xml:space="preserve"> demand </w:t>
      </w:r>
      <w:r w:rsidRPr="00C3692B">
        <w:rPr>
          <w:rFonts w:asciiTheme="majorHAnsi" w:hAnsiTheme="majorHAnsi"/>
          <w:sz w:val="24"/>
          <w:szCs w:val="24"/>
        </w:rPr>
        <w:t xml:space="preserve">for durable goods translated into reduced industrial output. Sensing </w:t>
      </w:r>
      <w:r>
        <w:rPr>
          <w:rFonts w:asciiTheme="majorHAnsi" w:hAnsiTheme="majorHAnsi"/>
          <w:sz w:val="24"/>
          <w:szCs w:val="24"/>
        </w:rPr>
        <w:t>weaker economic activity</w:t>
      </w:r>
      <w:r w:rsidRPr="00C3692B">
        <w:rPr>
          <w:rFonts w:asciiTheme="majorHAnsi" w:hAnsiTheme="majorHAnsi"/>
          <w:sz w:val="24"/>
          <w:szCs w:val="24"/>
        </w:rPr>
        <w:t>, the Federal Reserve, the European Central Bank, and central banks in India, Russia, and Brazil all lowered key interest rates last year.</w:t>
      </w:r>
      <w:r w:rsidRPr="00C3692B">
        <w:rPr>
          <w:rFonts w:asciiTheme="majorHAnsi" w:hAnsiTheme="majorHAnsi"/>
          <w:sz w:val="24"/>
          <w:szCs w:val="24"/>
          <w:vertAlign w:val="superscript"/>
        </w:rPr>
        <w:t>1</w:t>
      </w:r>
      <w:r>
        <w:rPr>
          <w:rFonts w:asciiTheme="majorHAnsi" w:hAnsiTheme="majorHAnsi"/>
          <w:sz w:val="24"/>
          <w:szCs w:val="24"/>
          <w:vertAlign w:val="superscript"/>
        </w:rPr>
        <w:t>0</w:t>
      </w:r>
    </w:p>
    <w:p w:rsidR="0021654A" w:rsidRPr="00DD38C0" w:rsidP="0021654A">
      <w:pPr>
        <w:spacing w:line="276" w:lineRule="auto"/>
        <w:jc w:val="both"/>
        <w:rPr>
          <w:rFonts w:asciiTheme="majorHAnsi" w:hAnsiTheme="majorHAnsi"/>
          <w:sz w:val="6"/>
          <w:szCs w:val="24"/>
        </w:rPr>
      </w:pPr>
    </w:p>
    <w:p w:rsidR="0021654A" w:rsidP="0021654A">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rsidR="0021654A" w:rsidRPr="00E16E2D" w:rsidP="0021654A">
      <w:pPr>
        <w:pStyle w:val="PlainText"/>
        <w:spacing w:after="160" w:line="276" w:lineRule="auto"/>
        <w:jc w:val="both"/>
        <w:rPr>
          <w:rFonts w:asciiTheme="majorHAnsi" w:hAnsiTheme="majorHAnsi" w:cstheme="majorHAnsi"/>
          <w:sz w:val="24"/>
          <w:szCs w:val="24"/>
        </w:rPr>
      </w:pPr>
      <w:r w:rsidRPr="00726EDA">
        <w:rPr>
          <w:rFonts w:asciiTheme="majorHAnsi" w:hAnsiTheme="majorHAnsi" w:cstheme="majorHAnsi"/>
          <w:sz w:val="24"/>
          <w:szCs w:val="24"/>
        </w:rPr>
        <w:t xml:space="preserve">Stock </w:t>
      </w:r>
      <w:r w:rsidRPr="00726EDA">
        <w:rPr>
          <w:rFonts w:asciiTheme="majorHAnsi" w:hAnsiTheme="majorHAnsi" w:cstheme="majorHAnsi"/>
          <w:sz w:val="24"/>
          <w:szCs w:val="24"/>
        </w:rPr>
        <w:t>benchmarks around the world posted December gains.</w:t>
      </w:r>
      <w:r>
        <w:rPr>
          <w:rFonts w:asciiTheme="majorHAnsi" w:hAnsiTheme="majorHAnsi" w:cstheme="majorHAnsi"/>
          <w:sz w:val="24"/>
          <w:szCs w:val="24"/>
        </w:rPr>
        <w:t xml:space="preserve"> In China, the Shanghai Composite advanced 6.20%, Hong Kong’s Hang Seng rose 7.00%, and South Korea’s Kospi Composite was up 5.25%. Europe’s leader was Russia’s RTS index, up 7</w:t>
      </w:r>
      <w:r w:rsidRPr="00E16E2D">
        <w:rPr>
          <w:rFonts w:asciiTheme="majorHAnsi" w:hAnsiTheme="majorHAnsi" w:cstheme="majorHAnsi"/>
          <w:sz w:val="24"/>
          <w:szCs w:val="24"/>
        </w:rPr>
        <w:t>.68%. In the Americas, Brazil’</w:t>
      </w:r>
      <w:r w:rsidRPr="00E16E2D">
        <w:rPr>
          <w:rFonts w:asciiTheme="majorHAnsi" w:hAnsiTheme="majorHAnsi" w:cstheme="majorHAnsi"/>
          <w:sz w:val="24"/>
          <w:szCs w:val="24"/>
        </w:rPr>
        <w:t>s Bovespa improved 6.85%. Three often-watched European indices – Germany’s DAX, France’s CAC 40</w:t>
      </w:r>
      <w:r>
        <w:rPr>
          <w:rFonts w:asciiTheme="majorHAnsi" w:hAnsiTheme="majorHAnsi" w:cstheme="majorHAnsi"/>
          <w:sz w:val="24"/>
          <w:szCs w:val="24"/>
        </w:rPr>
        <w:t>,</w:t>
      </w:r>
      <w:r w:rsidRPr="00E16E2D">
        <w:rPr>
          <w:rFonts w:asciiTheme="majorHAnsi" w:hAnsiTheme="majorHAnsi" w:cstheme="majorHAnsi"/>
          <w:sz w:val="24"/>
          <w:szCs w:val="24"/>
        </w:rPr>
        <w:t xml:space="preserve"> and Spain’s IBEX 35 – had respective gains of 0.10%, 1.23%, and 2.11%. Japan’s Nikkei 225 added 1.56%. MSCI’s EAFE index (tracking the performance of developed</w:t>
      </w:r>
      <w:r w:rsidRPr="00E16E2D">
        <w:rPr>
          <w:rFonts w:asciiTheme="majorHAnsi" w:hAnsiTheme="majorHAnsi" w:cstheme="majorHAnsi"/>
          <w:sz w:val="24"/>
          <w:szCs w:val="24"/>
        </w:rPr>
        <w:t xml:space="preserve"> stock markets beyond the U.S. and Canada) rose 3.47%.</w:t>
      </w:r>
      <w:r w:rsidRPr="00E16E2D">
        <w:rPr>
          <w:rFonts w:asciiTheme="majorHAnsi" w:hAnsiTheme="majorHAnsi" w:cstheme="majorHAnsi"/>
          <w:sz w:val="24"/>
          <w:szCs w:val="24"/>
          <w:vertAlign w:val="superscript"/>
        </w:rPr>
        <w:t>11,12</w:t>
      </w:r>
    </w:p>
    <w:p w:rsidR="0021654A" w:rsidRPr="00E16E2D" w:rsidP="0021654A">
      <w:pPr>
        <w:pStyle w:val="PlainText"/>
        <w:spacing w:after="160" w:line="276" w:lineRule="auto"/>
        <w:jc w:val="both"/>
        <w:rPr>
          <w:rFonts w:asciiTheme="majorHAnsi" w:hAnsiTheme="majorHAnsi" w:cstheme="majorHAnsi"/>
          <w:sz w:val="24"/>
          <w:szCs w:val="24"/>
        </w:rPr>
      </w:pPr>
      <w:r w:rsidRPr="00E16E2D">
        <w:rPr>
          <w:rFonts w:asciiTheme="majorHAnsi" w:hAnsiTheme="majorHAnsi" w:cstheme="majorHAnsi"/>
          <w:sz w:val="24"/>
          <w:szCs w:val="24"/>
        </w:rPr>
        <w:t>Australian traders had less to cheer about. Both of the big Australian equity indices fell in December, with the ASX 200 slipping 2.36%</w:t>
      </w:r>
      <w:r>
        <w:rPr>
          <w:rFonts w:asciiTheme="majorHAnsi" w:hAnsiTheme="majorHAnsi" w:cstheme="majorHAnsi"/>
          <w:sz w:val="24"/>
          <w:szCs w:val="24"/>
        </w:rPr>
        <w:t>,</w:t>
      </w:r>
      <w:r w:rsidRPr="00E16E2D">
        <w:rPr>
          <w:rFonts w:asciiTheme="majorHAnsi" w:hAnsiTheme="majorHAnsi" w:cstheme="majorHAnsi"/>
          <w:sz w:val="24"/>
          <w:szCs w:val="24"/>
        </w:rPr>
        <w:t xml:space="preserve"> and the All Ordinaries</w:t>
      </w:r>
      <w:r>
        <w:rPr>
          <w:rFonts w:asciiTheme="majorHAnsi" w:hAnsiTheme="majorHAnsi" w:cstheme="majorHAnsi"/>
          <w:sz w:val="24"/>
          <w:szCs w:val="24"/>
        </w:rPr>
        <w:t>,</w:t>
      </w:r>
      <w:r w:rsidRPr="00E16E2D">
        <w:rPr>
          <w:rFonts w:asciiTheme="majorHAnsi" w:hAnsiTheme="majorHAnsi" w:cstheme="majorHAnsi"/>
          <w:sz w:val="24"/>
          <w:szCs w:val="24"/>
        </w:rPr>
        <w:t xml:space="preserve"> 2.10%.</w:t>
      </w:r>
      <w:r w:rsidRPr="00E16E2D">
        <w:rPr>
          <w:rFonts w:asciiTheme="majorHAnsi" w:hAnsiTheme="majorHAnsi" w:cstheme="majorHAnsi"/>
          <w:sz w:val="24"/>
          <w:szCs w:val="24"/>
          <w:vertAlign w:val="superscript"/>
        </w:rPr>
        <w:t>11</w:t>
      </w:r>
    </w:p>
    <w:p w:rsidR="0021654A" w:rsidRPr="00DD38C0" w:rsidP="0021654A">
      <w:pPr>
        <w:spacing w:line="276" w:lineRule="auto"/>
        <w:jc w:val="both"/>
        <w:rPr>
          <w:rFonts w:asciiTheme="majorHAnsi" w:hAnsiTheme="majorHAnsi"/>
          <w:sz w:val="6"/>
          <w:szCs w:val="24"/>
        </w:rPr>
      </w:pPr>
    </w:p>
    <w:p w:rsidR="0021654A" w:rsidRPr="00775662" w:rsidP="0021654A">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rsidR="0021654A" w:rsidRPr="0036614F" w:rsidP="0021654A">
      <w:pPr>
        <w:pStyle w:val="PlainText"/>
        <w:spacing w:after="160" w:line="276" w:lineRule="auto"/>
        <w:jc w:val="both"/>
        <w:rPr>
          <w:rStyle w:val="st"/>
          <w:rFonts w:asciiTheme="majorHAnsi" w:hAnsiTheme="majorHAnsi"/>
          <w:sz w:val="24"/>
          <w:szCs w:val="24"/>
        </w:rPr>
      </w:pPr>
      <w:r w:rsidRPr="00593B70">
        <w:rPr>
          <w:rStyle w:val="st"/>
          <w:rFonts w:asciiTheme="majorHAnsi" w:hAnsiTheme="majorHAnsi"/>
          <w:sz w:val="24"/>
          <w:szCs w:val="24"/>
        </w:rPr>
        <w:t>Overa</w:t>
      </w:r>
      <w:r w:rsidRPr="00593B70">
        <w:rPr>
          <w:rStyle w:val="st"/>
          <w:rFonts w:asciiTheme="majorHAnsi" w:hAnsiTheme="majorHAnsi"/>
          <w:sz w:val="24"/>
          <w:szCs w:val="24"/>
        </w:rPr>
        <w:t xml:space="preserve">ll, December was a strong month for the commodities sector. </w:t>
      </w:r>
      <w:r>
        <w:rPr>
          <w:rStyle w:val="st"/>
          <w:rFonts w:asciiTheme="majorHAnsi" w:hAnsiTheme="majorHAnsi"/>
          <w:sz w:val="24"/>
          <w:szCs w:val="24"/>
        </w:rPr>
        <w:t>Oil ended the year at $6</w:t>
      </w:r>
      <w:r w:rsidRPr="0036614F">
        <w:rPr>
          <w:rStyle w:val="st"/>
          <w:rFonts w:asciiTheme="majorHAnsi" w:hAnsiTheme="majorHAnsi"/>
          <w:sz w:val="24"/>
          <w:szCs w:val="24"/>
        </w:rPr>
        <w:t>1.19 a barrel on the New York Mercantile Exchange (NYMEX), surging 10.38% in a month. Heating oil advanced 8.04%</w:t>
      </w:r>
      <w:r>
        <w:rPr>
          <w:rStyle w:val="st"/>
          <w:rFonts w:asciiTheme="majorHAnsi" w:hAnsiTheme="majorHAnsi"/>
          <w:sz w:val="24"/>
          <w:szCs w:val="24"/>
        </w:rPr>
        <w:t>;</w:t>
      </w:r>
      <w:r w:rsidRPr="0036614F">
        <w:rPr>
          <w:rStyle w:val="st"/>
          <w:rFonts w:asciiTheme="majorHAnsi" w:hAnsiTheme="majorHAnsi"/>
          <w:sz w:val="24"/>
          <w:szCs w:val="24"/>
        </w:rPr>
        <w:t xml:space="preserve"> unleaded gasoline</w:t>
      </w:r>
      <w:r>
        <w:rPr>
          <w:rStyle w:val="st"/>
          <w:rFonts w:asciiTheme="majorHAnsi" w:hAnsiTheme="majorHAnsi"/>
          <w:sz w:val="24"/>
          <w:szCs w:val="24"/>
        </w:rPr>
        <w:t>,</w:t>
      </w:r>
      <w:r w:rsidRPr="0036614F">
        <w:rPr>
          <w:rStyle w:val="st"/>
          <w:rFonts w:asciiTheme="majorHAnsi" w:hAnsiTheme="majorHAnsi"/>
          <w:sz w:val="24"/>
          <w:szCs w:val="24"/>
        </w:rPr>
        <w:t xml:space="preserve"> 6.58%</w:t>
      </w:r>
      <w:r>
        <w:rPr>
          <w:rStyle w:val="st"/>
          <w:rFonts w:asciiTheme="majorHAnsi" w:hAnsiTheme="majorHAnsi"/>
          <w:sz w:val="24"/>
          <w:szCs w:val="24"/>
        </w:rPr>
        <w:t>. O</w:t>
      </w:r>
      <w:r w:rsidRPr="0036614F">
        <w:rPr>
          <w:rStyle w:val="st"/>
          <w:rFonts w:asciiTheme="majorHAnsi" w:hAnsiTheme="majorHAnsi"/>
          <w:sz w:val="24"/>
          <w:szCs w:val="24"/>
        </w:rPr>
        <w:t xml:space="preserve">n the other hand, natural gas </w:t>
      </w:r>
      <w:r w:rsidRPr="0036614F">
        <w:rPr>
          <w:rStyle w:val="st"/>
          <w:rFonts w:asciiTheme="majorHAnsi" w:hAnsiTheme="majorHAnsi"/>
          <w:sz w:val="24"/>
          <w:szCs w:val="24"/>
        </w:rPr>
        <w:t>slipped 5.84%.</w:t>
      </w:r>
      <w:r w:rsidRPr="0036614F">
        <w:rPr>
          <w:rStyle w:val="st"/>
          <w:rFonts w:asciiTheme="majorHAnsi" w:hAnsiTheme="majorHAnsi"/>
          <w:sz w:val="24"/>
          <w:szCs w:val="24"/>
          <w:vertAlign w:val="superscript"/>
        </w:rPr>
        <w:t>13</w:t>
      </w:r>
      <w:r w:rsidRPr="0036614F">
        <w:rPr>
          <w:rStyle w:val="st"/>
          <w:rFonts w:asciiTheme="majorHAnsi" w:hAnsiTheme="majorHAnsi"/>
          <w:sz w:val="24"/>
          <w:szCs w:val="24"/>
        </w:rPr>
        <w:t xml:space="preserve"> </w:t>
      </w:r>
    </w:p>
    <w:p w:rsidR="0021654A" w:rsidRPr="00C273C0" w:rsidP="0021654A">
      <w:pPr>
        <w:pStyle w:val="PlainText"/>
        <w:spacing w:after="160" w:line="276" w:lineRule="auto"/>
        <w:jc w:val="both"/>
        <w:rPr>
          <w:rStyle w:val="st"/>
          <w:rFonts w:asciiTheme="majorHAnsi" w:hAnsiTheme="majorHAnsi"/>
          <w:sz w:val="24"/>
          <w:szCs w:val="24"/>
        </w:rPr>
      </w:pPr>
      <w:r w:rsidRPr="0036614F">
        <w:rPr>
          <w:rStyle w:val="st"/>
          <w:rFonts w:asciiTheme="majorHAnsi" w:hAnsiTheme="majorHAnsi"/>
          <w:sz w:val="24"/>
          <w:szCs w:val="24"/>
        </w:rPr>
        <w:t>Turning to metals, gold rose 3.94% for December</w:t>
      </w:r>
      <w:r>
        <w:rPr>
          <w:rStyle w:val="st"/>
          <w:rFonts w:asciiTheme="majorHAnsi" w:hAnsiTheme="majorHAnsi"/>
          <w:sz w:val="24"/>
          <w:szCs w:val="24"/>
        </w:rPr>
        <w:t xml:space="preserve">, closing </w:t>
      </w:r>
      <w:r w:rsidRPr="003E1ECB">
        <w:rPr>
          <w:rStyle w:val="st"/>
          <w:rFonts w:asciiTheme="majorHAnsi" w:hAnsiTheme="majorHAnsi"/>
          <w:sz w:val="24"/>
          <w:szCs w:val="24"/>
        </w:rPr>
        <w:t>out the year at $1,520.20 an ounce on the NYMEX. Silver gained 5.60% last month, taking its NYMEX per-ounce price to $17.92 on New Year’s Eve. Platinum improved 8</w:t>
      </w:r>
      <w:r w:rsidRPr="00C273C0">
        <w:rPr>
          <w:rStyle w:val="st"/>
          <w:rFonts w:asciiTheme="majorHAnsi" w:hAnsiTheme="majorHAnsi"/>
          <w:sz w:val="24"/>
          <w:szCs w:val="24"/>
        </w:rPr>
        <w:t>.02% in December</w:t>
      </w:r>
      <w:r>
        <w:rPr>
          <w:rStyle w:val="st"/>
          <w:rFonts w:asciiTheme="majorHAnsi" w:hAnsiTheme="majorHAnsi"/>
          <w:sz w:val="24"/>
          <w:szCs w:val="24"/>
        </w:rPr>
        <w:t>;</w:t>
      </w:r>
      <w:r w:rsidRPr="00C273C0">
        <w:rPr>
          <w:rStyle w:val="st"/>
          <w:rFonts w:asciiTheme="majorHAnsi" w:hAnsiTheme="majorHAnsi"/>
          <w:sz w:val="24"/>
          <w:szCs w:val="24"/>
        </w:rPr>
        <w:t xml:space="preserve"> c</w:t>
      </w:r>
      <w:r w:rsidRPr="00C273C0">
        <w:rPr>
          <w:rStyle w:val="st"/>
          <w:rFonts w:asciiTheme="majorHAnsi" w:hAnsiTheme="majorHAnsi"/>
          <w:sz w:val="24"/>
          <w:szCs w:val="24"/>
        </w:rPr>
        <w:t>opper</w:t>
      </w:r>
      <w:r>
        <w:rPr>
          <w:rStyle w:val="st"/>
          <w:rFonts w:asciiTheme="majorHAnsi" w:hAnsiTheme="majorHAnsi"/>
          <w:sz w:val="24"/>
          <w:szCs w:val="24"/>
        </w:rPr>
        <w:t>,</w:t>
      </w:r>
      <w:r w:rsidRPr="00C273C0">
        <w:rPr>
          <w:rStyle w:val="st"/>
          <w:rFonts w:asciiTheme="majorHAnsi" w:hAnsiTheme="majorHAnsi"/>
          <w:sz w:val="24"/>
          <w:szCs w:val="24"/>
        </w:rPr>
        <w:t xml:space="preserve"> 6.18%. The U.S. Dollar Index took a 1.81% December fall.</w:t>
      </w:r>
      <w:r w:rsidRPr="00C273C0">
        <w:rPr>
          <w:rStyle w:val="st"/>
          <w:rFonts w:asciiTheme="majorHAnsi" w:hAnsiTheme="majorHAnsi"/>
          <w:sz w:val="24"/>
          <w:szCs w:val="24"/>
          <w:vertAlign w:val="superscript"/>
        </w:rPr>
        <w:t>13</w:t>
      </w:r>
      <w:r>
        <w:rPr>
          <w:rStyle w:val="st"/>
          <w:rFonts w:asciiTheme="majorHAnsi" w:hAnsiTheme="majorHAnsi"/>
          <w:sz w:val="24"/>
          <w:szCs w:val="24"/>
          <w:vertAlign w:val="superscript"/>
        </w:rPr>
        <w:t>,14</w:t>
      </w:r>
      <w:r w:rsidRPr="00C273C0">
        <w:rPr>
          <w:rStyle w:val="st"/>
          <w:rFonts w:asciiTheme="majorHAnsi" w:hAnsiTheme="majorHAnsi"/>
          <w:sz w:val="24"/>
          <w:szCs w:val="24"/>
        </w:rPr>
        <w:t xml:space="preserve"> </w:t>
      </w:r>
    </w:p>
    <w:p w:rsidR="0021654A" w:rsidRPr="00C273C0" w:rsidP="0021654A">
      <w:pPr>
        <w:pStyle w:val="PlainText"/>
        <w:spacing w:after="160" w:line="276" w:lineRule="auto"/>
        <w:jc w:val="both"/>
        <w:rPr>
          <w:rStyle w:val="st"/>
          <w:rFonts w:asciiTheme="majorHAnsi" w:hAnsiTheme="majorHAnsi" w:cstheme="majorHAnsi"/>
          <w:sz w:val="24"/>
          <w:szCs w:val="24"/>
          <w:vertAlign w:val="superscript"/>
        </w:rPr>
      </w:pPr>
      <w:r w:rsidRPr="00C273C0">
        <w:rPr>
          <w:rStyle w:val="st"/>
          <w:rFonts w:asciiTheme="majorHAnsi" w:hAnsiTheme="majorHAnsi"/>
          <w:sz w:val="24"/>
          <w:szCs w:val="24"/>
        </w:rPr>
        <w:t>Now, a look at the farm and livestock commodities. Lean hogs led the way, their value rising 14.92% in December; coffee gained 11.53%. Other gainers: soybeans, 7.64%; cotton, 6.43%; suga</w:t>
      </w:r>
      <w:r w:rsidRPr="00C273C0">
        <w:rPr>
          <w:rStyle w:val="st"/>
          <w:rFonts w:asciiTheme="majorHAnsi" w:hAnsiTheme="majorHAnsi"/>
          <w:sz w:val="24"/>
          <w:szCs w:val="24"/>
        </w:rPr>
        <w:t>r, 4.56%; corn, 4.52%; wheat, 2.24%</w:t>
      </w:r>
      <w:r w:rsidRPr="00C273C0">
        <w:rPr>
          <w:rFonts w:asciiTheme="majorHAnsi" w:hAnsiTheme="majorHAnsi" w:cstheme="majorHAnsi"/>
          <w:sz w:val="24"/>
          <w:szCs w:val="24"/>
        </w:rPr>
        <w:t>. Cocoa was an exception, losing 5.73%.</w:t>
      </w:r>
      <w:r w:rsidRPr="00C273C0">
        <w:rPr>
          <w:rFonts w:asciiTheme="majorHAnsi" w:hAnsiTheme="majorHAnsi" w:cstheme="majorHAnsi"/>
          <w:sz w:val="24"/>
          <w:szCs w:val="24"/>
          <w:vertAlign w:val="superscript"/>
        </w:rPr>
        <w:t>13</w:t>
      </w:r>
    </w:p>
    <w:p w:rsidR="0021654A" w:rsidRPr="00C273C0" w:rsidP="0021654A">
      <w:pPr>
        <w:spacing w:line="276" w:lineRule="auto"/>
        <w:jc w:val="both"/>
        <w:rPr>
          <w:rFonts w:asciiTheme="majorHAnsi" w:hAnsiTheme="majorHAnsi"/>
          <w:sz w:val="6"/>
          <w:szCs w:val="24"/>
        </w:rPr>
      </w:pPr>
    </w:p>
    <w:p w:rsidR="0021654A" w:rsidRPr="00775662" w:rsidP="0021654A">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rsidR="0021654A" w:rsidRPr="008A5748" w:rsidP="0021654A">
      <w:pPr>
        <w:spacing w:line="276" w:lineRule="auto"/>
        <w:jc w:val="both"/>
        <w:rPr>
          <w:rStyle w:val="st"/>
          <w:rFonts w:eastAsia="Calibri" w:asciiTheme="majorHAnsi" w:hAnsiTheme="majorHAnsi" w:cs="Consolas"/>
          <w:color w:val="002060"/>
          <w:sz w:val="24"/>
          <w:szCs w:val="24"/>
        </w:rPr>
      </w:pPr>
      <w:r w:rsidRPr="00DF1C51">
        <w:rPr>
          <w:rStyle w:val="st"/>
          <w:rFonts w:eastAsia="Calibri" w:asciiTheme="majorHAnsi" w:hAnsiTheme="majorHAnsi" w:cs="Consolas"/>
          <w:sz w:val="24"/>
          <w:szCs w:val="24"/>
        </w:rPr>
        <w:t xml:space="preserve">As 2019 ended, home loans were </w:t>
      </w:r>
      <w:r>
        <w:rPr>
          <w:rStyle w:val="st"/>
          <w:rFonts w:eastAsia="Calibri" w:asciiTheme="majorHAnsi" w:hAnsiTheme="majorHAnsi" w:cs="Consolas"/>
          <w:sz w:val="24"/>
          <w:szCs w:val="24"/>
        </w:rPr>
        <w:t>cheaper</w:t>
      </w:r>
      <w:r w:rsidRPr="00DF1C51">
        <w:rPr>
          <w:rStyle w:val="st"/>
          <w:rFonts w:eastAsia="Calibri" w:asciiTheme="majorHAnsi" w:hAnsiTheme="majorHAnsi" w:cs="Consolas"/>
          <w:sz w:val="24"/>
          <w:szCs w:val="24"/>
        </w:rPr>
        <w:t xml:space="preserve"> than they were at the start of the year. Looking at Freddie Mac’s Primary Mortgage Market Survey, the average interest rate on a 30-year</w:t>
      </w:r>
      <w:r>
        <w:rPr>
          <w:rStyle w:val="st"/>
          <w:rFonts w:eastAsia="Calibri" w:asciiTheme="majorHAnsi" w:hAnsiTheme="majorHAnsi" w:cs="Consolas"/>
          <w:sz w:val="24"/>
          <w:szCs w:val="24"/>
        </w:rPr>
        <w:t>,</w:t>
      </w:r>
      <w:r w:rsidRPr="00DF1C51">
        <w:rPr>
          <w:rStyle w:val="st"/>
          <w:rFonts w:eastAsia="Calibri" w:asciiTheme="majorHAnsi" w:hAnsiTheme="majorHAnsi" w:cs="Consolas"/>
          <w:sz w:val="24"/>
          <w:szCs w:val="24"/>
        </w:rPr>
        <w:t xml:space="preserve"> fixed-rate mortgage was 3.74% on December 2</w:t>
      </w:r>
      <w:r>
        <w:rPr>
          <w:rStyle w:val="st"/>
          <w:rFonts w:eastAsia="Calibri" w:asciiTheme="majorHAnsi" w:hAnsiTheme="majorHAnsi" w:cs="Consolas"/>
          <w:sz w:val="24"/>
          <w:szCs w:val="24"/>
        </w:rPr>
        <w:t>6</w:t>
      </w:r>
      <w:r w:rsidRPr="00DF1C51">
        <w:rPr>
          <w:rStyle w:val="st"/>
          <w:rFonts w:eastAsia="Calibri" w:asciiTheme="majorHAnsi" w:hAnsiTheme="majorHAnsi" w:cs="Consolas"/>
          <w:sz w:val="24"/>
          <w:szCs w:val="24"/>
        </w:rPr>
        <w:t>, which was up from 3.68% a month earlier</w:t>
      </w:r>
      <w:r>
        <w:rPr>
          <w:rStyle w:val="st"/>
          <w:rFonts w:eastAsia="Calibri" w:asciiTheme="majorHAnsi" w:hAnsiTheme="majorHAnsi" w:cs="Consolas"/>
          <w:sz w:val="24"/>
          <w:szCs w:val="24"/>
        </w:rPr>
        <w:t>,</w:t>
      </w:r>
      <w:r w:rsidRPr="00DF1C51">
        <w:rPr>
          <w:rStyle w:val="st"/>
          <w:rFonts w:eastAsia="Calibri" w:asciiTheme="majorHAnsi" w:hAnsiTheme="majorHAnsi" w:cs="Consolas"/>
          <w:sz w:val="24"/>
          <w:szCs w:val="24"/>
        </w:rPr>
        <w:t xml:space="preserve"> but well under the 4.51% mean </w:t>
      </w:r>
      <w:r w:rsidRPr="00DF1C51">
        <w:rPr>
          <w:rStyle w:val="st"/>
          <w:rFonts w:eastAsia="Calibri" w:asciiTheme="majorHAnsi" w:hAnsiTheme="majorHAnsi" w:cs="Consolas"/>
          <w:sz w:val="24"/>
          <w:szCs w:val="24"/>
        </w:rPr>
        <w:t>rate see</w:t>
      </w:r>
      <w:r w:rsidRPr="00C273C0">
        <w:rPr>
          <w:rStyle w:val="st"/>
          <w:rFonts w:eastAsia="Calibri" w:asciiTheme="majorHAnsi" w:hAnsiTheme="majorHAnsi" w:cs="Consolas"/>
          <w:sz w:val="24"/>
          <w:szCs w:val="24"/>
        </w:rPr>
        <w:t>n on January 3. The average interest rate on 15-year</w:t>
      </w:r>
      <w:r>
        <w:rPr>
          <w:rStyle w:val="st"/>
          <w:rFonts w:eastAsia="Calibri" w:asciiTheme="majorHAnsi" w:hAnsiTheme="majorHAnsi" w:cs="Consolas"/>
          <w:sz w:val="24"/>
          <w:szCs w:val="24"/>
        </w:rPr>
        <w:t>,</w:t>
      </w:r>
      <w:r w:rsidRPr="00C273C0">
        <w:rPr>
          <w:rStyle w:val="st"/>
          <w:rFonts w:eastAsia="Calibri" w:asciiTheme="majorHAnsi" w:hAnsiTheme="majorHAnsi" w:cs="Consolas"/>
          <w:sz w:val="24"/>
          <w:szCs w:val="24"/>
        </w:rPr>
        <w:t xml:space="preserve"> fixed-rate home loans took a similar path: averaging 3.99% on January 3, it was at 3.15% on November 27 and at 3.19% on December 2</w:t>
      </w:r>
      <w:r>
        <w:rPr>
          <w:rStyle w:val="st"/>
          <w:rFonts w:eastAsia="Calibri" w:asciiTheme="majorHAnsi" w:hAnsiTheme="majorHAnsi" w:cs="Consolas"/>
          <w:sz w:val="24"/>
          <w:szCs w:val="24"/>
        </w:rPr>
        <w:t>6</w:t>
      </w:r>
      <w:r w:rsidRPr="00C273C0">
        <w:rPr>
          <w:rStyle w:val="st"/>
          <w:rFonts w:eastAsia="Calibri" w:asciiTheme="majorHAnsi" w:hAnsiTheme="majorHAnsi" w:cs="Consolas"/>
          <w:sz w:val="24"/>
          <w:szCs w:val="24"/>
        </w:rPr>
        <w:t>.</w:t>
      </w:r>
      <w:r w:rsidRPr="00C273C0">
        <w:rPr>
          <w:rStyle w:val="st"/>
          <w:rFonts w:eastAsia="Calibri" w:asciiTheme="majorHAnsi" w:hAnsiTheme="majorHAnsi" w:cs="Consolas"/>
          <w:sz w:val="24"/>
          <w:szCs w:val="24"/>
          <w:vertAlign w:val="superscript"/>
        </w:rPr>
        <w:t>15</w:t>
      </w:r>
    </w:p>
    <w:p w:rsidR="0021654A" w:rsidP="0021654A">
      <w:pPr>
        <w:spacing w:line="276" w:lineRule="auto"/>
        <w:jc w:val="both"/>
        <w:rPr>
          <w:rStyle w:val="st"/>
          <w:rFonts w:eastAsia="Calibri" w:asciiTheme="majorHAnsi" w:hAnsiTheme="majorHAnsi" w:cs="Consolas"/>
          <w:color w:val="002060"/>
          <w:sz w:val="24"/>
          <w:szCs w:val="24"/>
        </w:rPr>
      </w:pPr>
      <w:r w:rsidRPr="00795D9F">
        <w:rPr>
          <w:rFonts w:asciiTheme="majorHAnsi" w:hAnsiTheme="majorHAnsi" w:cstheme="majorHAnsi"/>
          <w:i/>
          <w:iCs/>
          <w:sz w:val="18"/>
          <w:szCs w:val="18"/>
        </w:rPr>
        <w:t>30-year and 15-year fixed rate mortgages are conventional h</w:t>
      </w:r>
      <w:r w:rsidRPr="00795D9F">
        <w:rPr>
          <w:rFonts w:asciiTheme="majorHAnsi" w:hAnsiTheme="majorHAnsi" w:cstheme="majorHAnsi"/>
          <w:i/>
          <w:iCs/>
          <w:sz w:val="18"/>
          <w:szCs w:val="18"/>
        </w:rPr>
        <w:t>ome loans generally featuring a limit of $484,350 ($726,525 in high-cost areas) that meet the lending requirements of Fannie Mae and Freddie Mac, but they are not mortgages guaranteed or insured by any government agency. Private mortgage insurance, or PMI,</w:t>
      </w:r>
      <w:r w:rsidRPr="00795D9F">
        <w:rPr>
          <w:rFonts w:asciiTheme="majorHAnsi" w:hAnsiTheme="majorHAnsi" w:cstheme="majorHAnsi"/>
          <w:i/>
          <w:iCs/>
          <w:sz w:val="18"/>
          <w:szCs w:val="18"/>
        </w:rPr>
        <w:t xml:space="preserve"> is required for any conventional loan with less than a 20% down payment</w:t>
      </w:r>
      <w:r>
        <w:rPr>
          <w:rFonts w:asciiTheme="majorHAnsi" w:hAnsiTheme="majorHAnsi" w:cstheme="majorHAnsi"/>
          <w:i/>
          <w:iCs/>
          <w:sz w:val="18"/>
          <w:szCs w:val="18"/>
        </w:rPr>
        <w:t>.</w:t>
      </w:r>
      <w:r w:rsidRPr="008A5748">
        <w:rPr>
          <w:rStyle w:val="st"/>
          <w:rFonts w:eastAsia="Calibri" w:asciiTheme="majorHAnsi" w:hAnsiTheme="majorHAnsi" w:cs="Consolas"/>
          <w:color w:val="002060"/>
          <w:sz w:val="24"/>
          <w:szCs w:val="24"/>
        </w:rPr>
        <w:t xml:space="preserve"> </w:t>
      </w:r>
    </w:p>
    <w:p w:rsidR="0021654A" w:rsidRPr="00C273C0" w:rsidP="0021654A">
      <w:pPr>
        <w:spacing w:line="276" w:lineRule="auto"/>
        <w:jc w:val="both"/>
        <w:rPr>
          <w:rStyle w:val="st"/>
          <w:rFonts w:asciiTheme="majorHAnsi" w:hAnsiTheme="majorHAnsi"/>
          <w:sz w:val="24"/>
          <w:szCs w:val="24"/>
        </w:rPr>
      </w:pPr>
      <w:r w:rsidRPr="00840ED4">
        <w:rPr>
          <w:rStyle w:val="st"/>
          <w:rFonts w:asciiTheme="majorHAnsi" w:hAnsiTheme="majorHAnsi"/>
          <w:sz w:val="24"/>
          <w:szCs w:val="24"/>
        </w:rPr>
        <w:t>Existing home sales, though, remained sluggish. The National Association of Realtors reported a 1.7% November decline, following a revised 1.5% retreat in October. The Census Bureau</w:t>
      </w:r>
      <w:r w:rsidRPr="00840ED4">
        <w:rPr>
          <w:rStyle w:val="st"/>
          <w:rFonts w:asciiTheme="majorHAnsi" w:hAnsiTheme="majorHAnsi"/>
          <w:sz w:val="24"/>
          <w:szCs w:val="24"/>
        </w:rPr>
        <w:t xml:space="preserve"> annou</w:t>
      </w:r>
      <w:r w:rsidRPr="00C273C0">
        <w:rPr>
          <w:rStyle w:val="st"/>
          <w:rFonts w:asciiTheme="majorHAnsi" w:hAnsiTheme="majorHAnsi"/>
          <w:sz w:val="24"/>
          <w:szCs w:val="24"/>
        </w:rPr>
        <w:t xml:space="preserve">nced that new home sales increased 1.3% in November, partly making up for a 2.7% </w:t>
      </w:r>
      <w:r>
        <w:rPr>
          <w:rStyle w:val="st"/>
          <w:rFonts w:asciiTheme="majorHAnsi" w:hAnsiTheme="majorHAnsi"/>
          <w:sz w:val="24"/>
          <w:szCs w:val="24"/>
        </w:rPr>
        <w:t>dip</w:t>
      </w:r>
      <w:r w:rsidRPr="00C273C0">
        <w:rPr>
          <w:rStyle w:val="st"/>
          <w:rFonts w:asciiTheme="majorHAnsi" w:hAnsiTheme="majorHAnsi"/>
          <w:sz w:val="24"/>
          <w:szCs w:val="24"/>
        </w:rPr>
        <w:t>.</w:t>
      </w:r>
      <w:r w:rsidRPr="00C273C0">
        <w:rPr>
          <w:rStyle w:val="st"/>
          <w:rFonts w:asciiTheme="majorHAnsi" w:hAnsiTheme="majorHAnsi"/>
          <w:sz w:val="24"/>
          <w:szCs w:val="24"/>
          <w:vertAlign w:val="superscript"/>
        </w:rPr>
        <w:t>4,16</w:t>
      </w:r>
    </w:p>
    <w:p w:rsidR="0021654A" w:rsidRPr="00C273C0" w:rsidP="0021654A">
      <w:pPr>
        <w:spacing w:line="276" w:lineRule="auto"/>
        <w:jc w:val="both"/>
        <w:rPr>
          <w:rStyle w:val="st"/>
          <w:rFonts w:eastAsia="Calibri" w:asciiTheme="majorHAnsi" w:hAnsiTheme="majorHAnsi" w:cs="Consolas"/>
          <w:sz w:val="24"/>
          <w:szCs w:val="24"/>
        </w:rPr>
      </w:pPr>
      <w:r w:rsidRPr="00C273C0">
        <w:rPr>
          <w:rStyle w:val="st"/>
          <w:rFonts w:eastAsia="Calibri" w:asciiTheme="majorHAnsi" w:hAnsiTheme="majorHAnsi" w:cs="Consolas"/>
          <w:sz w:val="24"/>
          <w:szCs w:val="24"/>
        </w:rPr>
        <w:t>New home construction was up in November. Housing starts rose by 3.2%</w:t>
      </w:r>
      <w:r>
        <w:rPr>
          <w:rStyle w:val="st"/>
          <w:rFonts w:eastAsia="Calibri" w:asciiTheme="majorHAnsi" w:hAnsiTheme="majorHAnsi" w:cs="Consolas"/>
          <w:sz w:val="24"/>
          <w:szCs w:val="24"/>
        </w:rPr>
        <w:t>,</w:t>
      </w:r>
      <w:r w:rsidRPr="00C273C0">
        <w:rPr>
          <w:rStyle w:val="st"/>
          <w:rFonts w:eastAsia="Calibri" w:asciiTheme="majorHAnsi" w:hAnsiTheme="majorHAnsi" w:cs="Consolas"/>
          <w:sz w:val="24"/>
          <w:szCs w:val="24"/>
        </w:rPr>
        <w:t xml:space="preserve"> and the rate of building permits issued accelerated by 1.4%.</w:t>
      </w:r>
      <w:r w:rsidRPr="00C273C0">
        <w:rPr>
          <w:rStyle w:val="st"/>
          <w:rFonts w:eastAsia="Calibri" w:asciiTheme="majorHAnsi" w:hAnsiTheme="majorHAnsi" w:cs="Consolas"/>
          <w:sz w:val="24"/>
          <w:szCs w:val="24"/>
          <w:vertAlign w:val="superscript"/>
        </w:rPr>
        <w:t>4</w:t>
      </w:r>
    </w:p>
    <w:p w:rsidR="0021654A"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jc w:val="center"/>
        <w:rPr>
          <w:rStyle w:val="st"/>
          <w:rFonts w:asciiTheme="majorHAnsi" w:hAnsiTheme="majorHAnsi"/>
          <w:color w:val="E88E0A"/>
          <w:sz w:val="4"/>
        </w:rPr>
      </w:pPr>
    </w:p>
    <w:p w:rsidR="0021654A" w:rsidRPr="00DD38C0" w:rsidP="0021654A">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M </w:t>
      </w:r>
      <w:r w:rsidRPr="007C2813">
        <w:rPr>
          <w:rStyle w:val="st"/>
          <w:rFonts w:asciiTheme="majorHAnsi" w:hAnsiTheme="majorHAnsi"/>
          <w:color w:val="3E7BB6"/>
        </w:rPr>
        <w:t>O N T H</w:t>
      </w:r>
      <w:r>
        <w:rPr>
          <w:rStyle w:val="st"/>
          <w:rFonts w:asciiTheme="majorHAnsi" w:hAnsiTheme="majorHAnsi"/>
          <w:color w:val="E88E0A"/>
        </w:rPr>
        <w:br/>
      </w:r>
    </w:p>
    <w:p w:rsidR="0021654A" w:rsidP="0021654A">
      <w:pPr>
        <w:spacing w:line="276" w:lineRule="auto"/>
        <w:jc w:val="center"/>
        <w:rPr>
          <w:rStyle w:val="st"/>
          <w:rFonts w:asciiTheme="majorHAnsi" w:hAnsiTheme="majorHAnsi"/>
        </w:rPr>
      </w:pPr>
      <w:r>
        <w:rPr>
          <w:rFonts w:asciiTheme="majorHAnsi" w:hAnsiTheme="majorHAnsi"/>
          <w:noProof/>
        </w:rPr>
        <w:drawing>
          <wp:inline distT="0" distB="0" distL="0" distR="0">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rsidR="0021654A" w:rsidRPr="00F37B93" w:rsidP="0021654A">
      <w:pPr>
        <w:spacing w:line="276" w:lineRule="auto"/>
        <w:jc w:val="center"/>
        <w:rPr>
          <w:rStyle w:val="st"/>
          <w:rFonts w:asciiTheme="majorHAnsi" w:hAnsiTheme="majorHAnsi"/>
          <w:i/>
          <w:sz w:val="28"/>
        </w:rPr>
      </w:pPr>
      <w:r w:rsidRPr="00DD38C0">
        <w:rPr>
          <w:rStyle w:val="st"/>
          <w:rFonts w:asciiTheme="majorHAnsi" w:hAnsiTheme="majorHAnsi"/>
          <w:sz w:val="6"/>
        </w:rPr>
        <w:br/>
      </w:r>
      <w:r w:rsidRPr="00F37B93">
        <w:rPr>
          <w:rStyle w:val="st"/>
          <w:rFonts w:asciiTheme="majorHAnsi" w:hAnsiTheme="majorHAnsi"/>
          <w:i/>
          <w:sz w:val="28"/>
        </w:rPr>
        <w:t xml:space="preserve">Some individuals </w:t>
      </w:r>
      <w:r w:rsidRPr="00F37B93">
        <w:rPr>
          <w:rStyle w:val="st"/>
          <w:rFonts w:asciiTheme="majorHAnsi" w:hAnsiTheme="majorHAnsi"/>
          <w:b/>
          <w:i/>
          <w:sz w:val="28"/>
        </w:rPr>
        <w:t>presume</w:t>
      </w:r>
      <w:r w:rsidRPr="00F37B93">
        <w:rPr>
          <w:rStyle w:val="st"/>
          <w:rFonts w:asciiTheme="majorHAnsi" w:hAnsiTheme="majorHAnsi"/>
          <w:i/>
          <w:sz w:val="28"/>
        </w:rPr>
        <w:t xml:space="preserve"> that a properly written </w:t>
      </w:r>
      <w:r w:rsidRPr="00F37B93">
        <w:rPr>
          <w:rStyle w:val="st"/>
          <w:rFonts w:asciiTheme="majorHAnsi" w:hAnsiTheme="majorHAnsi"/>
          <w:b/>
          <w:i/>
          <w:sz w:val="28"/>
        </w:rPr>
        <w:t>will</w:t>
      </w:r>
      <w:r w:rsidRPr="00F37B93">
        <w:rPr>
          <w:rStyle w:val="st"/>
          <w:rFonts w:asciiTheme="majorHAnsi" w:hAnsiTheme="majorHAnsi"/>
          <w:i/>
          <w:sz w:val="28"/>
        </w:rPr>
        <w:t xml:space="preserve"> can help their estates avoid probate. That is </w:t>
      </w:r>
      <w:r w:rsidRPr="00F37B93">
        <w:rPr>
          <w:rStyle w:val="st"/>
          <w:rFonts w:asciiTheme="majorHAnsi" w:hAnsiTheme="majorHAnsi"/>
          <w:b/>
          <w:i/>
          <w:sz w:val="28"/>
        </w:rPr>
        <w:t>inaccurate</w:t>
      </w:r>
      <w:r w:rsidRPr="00F37B93">
        <w:rPr>
          <w:rStyle w:val="st"/>
          <w:rFonts w:asciiTheme="majorHAnsi" w:hAnsiTheme="majorHAnsi"/>
          <w:i/>
          <w:sz w:val="28"/>
        </w:rPr>
        <w:t xml:space="preserve">. There are </w:t>
      </w:r>
      <w:r>
        <w:rPr>
          <w:rStyle w:val="st"/>
          <w:rFonts w:asciiTheme="majorHAnsi" w:hAnsiTheme="majorHAnsi"/>
          <w:i/>
          <w:sz w:val="28"/>
        </w:rPr>
        <w:t>steps</w:t>
      </w:r>
      <w:r w:rsidRPr="00F37B93">
        <w:rPr>
          <w:rStyle w:val="st"/>
          <w:rFonts w:asciiTheme="majorHAnsi" w:hAnsiTheme="majorHAnsi"/>
          <w:i/>
          <w:sz w:val="28"/>
        </w:rPr>
        <w:t xml:space="preserve"> </w:t>
      </w:r>
      <w:r>
        <w:rPr>
          <w:rStyle w:val="st"/>
          <w:rFonts w:asciiTheme="majorHAnsi" w:hAnsiTheme="majorHAnsi"/>
          <w:i/>
          <w:sz w:val="28"/>
        </w:rPr>
        <w:t xml:space="preserve">that may exempt </w:t>
      </w:r>
      <w:r w:rsidRPr="00F37B93">
        <w:rPr>
          <w:rStyle w:val="st"/>
          <w:rFonts w:asciiTheme="majorHAnsi" w:hAnsiTheme="majorHAnsi"/>
          <w:i/>
          <w:sz w:val="28"/>
        </w:rPr>
        <w:t>certain assets</w:t>
      </w:r>
      <w:r>
        <w:rPr>
          <w:rStyle w:val="st"/>
          <w:rFonts w:asciiTheme="majorHAnsi" w:hAnsiTheme="majorHAnsi"/>
          <w:i/>
          <w:sz w:val="28"/>
        </w:rPr>
        <w:t xml:space="preserve"> from the probate process</w:t>
      </w:r>
      <w:r w:rsidRPr="00F37B93">
        <w:rPr>
          <w:rStyle w:val="st"/>
          <w:rFonts w:asciiTheme="majorHAnsi" w:hAnsiTheme="majorHAnsi"/>
          <w:i/>
          <w:sz w:val="28"/>
        </w:rPr>
        <w:t xml:space="preserve"> (trusts, beneficiary forms, jointly held or transfer-on-death accounts), but a will </w:t>
      </w:r>
      <w:r>
        <w:rPr>
          <w:rStyle w:val="st"/>
          <w:rFonts w:asciiTheme="majorHAnsi" w:hAnsiTheme="majorHAnsi"/>
          <w:i/>
          <w:sz w:val="28"/>
        </w:rPr>
        <w:t xml:space="preserve">alone </w:t>
      </w:r>
      <w:r w:rsidRPr="00F37B93">
        <w:rPr>
          <w:rStyle w:val="st"/>
          <w:rFonts w:asciiTheme="majorHAnsi" w:hAnsiTheme="majorHAnsi"/>
          <w:i/>
          <w:sz w:val="28"/>
        </w:rPr>
        <w:t>does not provide protection from probate.</w:t>
      </w:r>
    </w:p>
    <w:p w:rsidR="0021654A" w:rsidRPr="00DD38C0" w:rsidP="0021654A">
      <w:pPr>
        <w:spacing w:line="276" w:lineRule="auto"/>
        <w:jc w:val="center"/>
        <w:rPr>
          <w:rStyle w:val="st"/>
          <w:rFonts w:asciiTheme="majorHAnsi" w:hAnsiTheme="majorHAnsi"/>
          <w:i/>
          <w:color w:val="E88E0A"/>
          <w:sz w:val="4"/>
        </w:rPr>
      </w:pPr>
    </w:p>
    <w:p w:rsidR="0021654A"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rPr>
          <w:rFonts w:asciiTheme="majorHAnsi" w:hAnsiTheme="majorHAnsi"/>
          <w:b/>
          <w:color w:val="E88E0A"/>
          <w:spacing w:val="-2"/>
          <w:sz w:val="8"/>
        </w:rPr>
      </w:pPr>
    </w:p>
    <w:p w:rsidR="0021654A" w:rsidRPr="007A5A6C" w:rsidP="0021654A">
      <w:pPr>
        <w:spacing w:line="276" w:lineRule="auto"/>
        <w:rPr>
          <w:rFonts w:asciiTheme="majorHAnsi" w:hAnsiTheme="majorHAnsi"/>
          <w:b/>
          <w:spacing w:val="-2"/>
          <w:sz w:val="28"/>
        </w:rPr>
      </w:pPr>
      <w:r>
        <w:rPr>
          <w:rFonts w:asciiTheme="majorHAnsi" w:hAnsiTheme="majorHAnsi"/>
          <w:b/>
          <w:color w:val="3E7BB6"/>
          <w:spacing w:val="-2"/>
          <w:sz w:val="28"/>
        </w:rPr>
        <w:t>LOOKING BACK, LOOKING FORWARD</w:t>
      </w:r>
    </w:p>
    <w:p w:rsidR="0021654A" w:rsidRPr="008A5748" w:rsidP="0021654A">
      <w:pPr>
        <w:spacing w:line="276" w:lineRule="auto"/>
        <w:rPr>
          <w:rStyle w:val="st"/>
          <w:rFonts w:asciiTheme="majorHAnsi" w:hAnsiTheme="majorHAnsi"/>
          <w:color w:val="002060"/>
          <w:sz w:val="24"/>
        </w:rPr>
      </w:pPr>
      <w:r>
        <w:rPr>
          <w:rStyle w:val="st"/>
          <w:rFonts w:asciiTheme="majorHAnsi" w:hAnsiTheme="majorHAnsi"/>
          <w:sz w:val="24"/>
        </w:rPr>
        <w:t xml:space="preserve">All three of the </w:t>
      </w:r>
      <w:r w:rsidRPr="00B77962">
        <w:rPr>
          <w:rStyle w:val="st"/>
          <w:rFonts w:asciiTheme="majorHAnsi" w:hAnsiTheme="majorHAnsi"/>
          <w:sz w:val="24"/>
        </w:rPr>
        <w:t xml:space="preserve">big Wall Street stock indices </w:t>
      </w:r>
      <w:r>
        <w:rPr>
          <w:rStyle w:val="st"/>
          <w:rFonts w:asciiTheme="majorHAnsi" w:hAnsiTheme="majorHAnsi"/>
          <w:sz w:val="24"/>
        </w:rPr>
        <w:t>added to their year-to-date gains</w:t>
      </w:r>
      <w:r w:rsidRPr="00B77962">
        <w:rPr>
          <w:rStyle w:val="st"/>
          <w:rFonts w:asciiTheme="majorHAnsi" w:hAnsiTheme="majorHAnsi"/>
          <w:sz w:val="24"/>
        </w:rPr>
        <w:t xml:space="preserve"> in December. The Nasdaq Composite ended the year at 8,</w:t>
      </w:r>
      <w:r w:rsidRPr="00252EB0">
        <w:rPr>
          <w:rStyle w:val="st"/>
          <w:rFonts w:asciiTheme="majorHAnsi" w:hAnsiTheme="majorHAnsi"/>
          <w:sz w:val="24"/>
        </w:rPr>
        <w:t xml:space="preserve">972.60; it outperformed </w:t>
      </w:r>
      <w:r w:rsidRPr="00B77962">
        <w:rPr>
          <w:rStyle w:val="st"/>
          <w:rFonts w:asciiTheme="majorHAnsi" w:hAnsiTheme="majorHAnsi"/>
          <w:sz w:val="24"/>
        </w:rPr>
        <w:t>both the Dow Jones Industrial Average and S&amp;P 500 last month. The S&amp;P finished 2019 at 3,230.78</w:t>
      </w:r>
      <w:r>
        <w:rPr>
          <w:rStyle w:val="st"/>
          <w:rFonts w:asciiTheme="majorHAnsi" w:hAnsiTheme="majorHAnsi"/>
          <w:sz w:val="24"/>
        </w:rPr>
        <w:t>;</w:t>
      </w:r>
      <w:r w:rsidRPr="00B77962">
        <w:rPr>
          <w:rStyle w:val="st"/>
          <w:rFonts w:asciiTheme="majorHAnsi" w:hAnsiTheme="majorHAnsi"/>
          <w:sz w:val="24"/>
        </w:rPr>
        <w:t xml:space="preserve"> the Dow</w:t>
      </w:r>
      <w:r>
        <w:rPr>
          <w:rStyle w:val="st"/>
          <w:rFonts w:asciiTheme="majorHAnsi" w:hAnsiTheme="majorHAnsi"/>
          <w:sz w:val="24"/>
        </w:rPr>
        <w:t>,</w:t>
      </w:r>
      <w:r w:rsidRPr="00B77962">
        <w:rPr>
          <w:rStyle w:val="st"/>
          <w:rFonts w:asciiTheme="majorHAnsi" w:hAnsiTheme="majorHAnsi"/>
          <w:sz w:val="24"/>
        </w:rPr>
        <w:t xml:space="preserve"> at 28,538.44.</w:t>
      </w:r>
      <w:r w:rsidRPr="00B77962">
        <w:rPr>
          <w:rStyle w:val="st"/>
          <w:rFonts w:asciiTheme="majorHAnsi" w:hAnsiTheme="majorHAnsi"/>
          <w:sz w:val="24"/>
          <w:vertAlign w:val="superscript"/>
        </w:rPr>
        <w:t>17</w:t>
      </w:r>
    </w:p>
    <w:tbl>
      <w:tblPr>
        <w:tblW w:w="4875" w:type="pct"/>
        <w:jc w:val="center"/>
        <w:tblLook w:val="04A0"/>
      </w:tblPr>
      <w:tblGrid>
        <w:gridCol w:w="2300"/>
        <w:gridCol w:w="2300"/>
        <w:gridCol w:w="2299"/>
        <w:gridCol w:w="2297"/>
      </w:tblGrid>
      <w:tr w:rsidTr="009E0DC0">
        <w:tblPrEx>
          <w:tblW w:w="4875" w:type="pct"/>
          <w:jc w:val="center"/>
          <w:tblLook w:val="04A0"/>
        </w:tblPrEx>
        <w:trPr>
          <w:trHeight w:val="390"/>
          <w:jc w:val="center"/>
        </w:trPr>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2018</w:t>
            </w:r>
          </w:p>
        </w:tc>
      </w:tr>
      <w:tr w:rsidTr="009E0DC0">
        <w:tblPrEx>
          <w:tblW w:w="4875" w:type="pct"/>
          <w:jc w:val="center"/>
          <w:tblLook w:val="04A0"/>
        </w:tblPrEx>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+22.34</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+1.74</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-5.63</w:t>
            </w:r>
          </w:p>
        </w:tc>
      </w:tr>
      <w:tr w:rsidTr="009E0DC0">
        <w:tblPrEx>
          <w:tblW w:w="4875" w:type="pct"/>
          <w:jc w:val="center"/>
          <w:tblLook w:val="04A0"/>
        </w:tblPrEx>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+35.23</w:t>
            </w:r>
          </w:p>
        </w:tc>
        <w:tc>
          <w:tcPr>
            <w:tcW w:w="1250"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+3.54</w:t>
            </w:r>
          </w:p>
        </w:tc>
        <w:tc>
          <w:tcPr>
            <w:tcW w:w="1249"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-3.88</w:t>
            </w:r>
          </w:p>
        </w:tc>
      </w:tr>
      <w:tr w:rsidTr="009E0DC0">
        <w:tblPrEx>
          <w:tblW w:w="4875" w:type="pct"/>
          <w:jc w:val="center"/>
          <w:tblLook w:val="04A0"/>
        </w:tblPrEx>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+28.88</w:t>
            </w:r>
          </w:p>
        </w:tc>
        <w:tc>
          <w:tcPr>
            <w:tcW w:w="1250"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+2.86</w:t>
            </w:r>
          </w:p>
        </w:tc>
        <w:tc>
          <w:tcPr>
            <w:tcW w:w="1249" w:type="pct"/>
            <w:tcBorders>
              <w:top w:val="nil"/>
              <w:left w:val="nil"/>
              <w:bottom w:val="single" w:sz="4" w:space="0" w:color="A5A5A5"/>
              <w:right w:val="single" w:sz="4" w:space="0" w:color="A5A5A5"/>
            </w:tcBorders>
            <w:shd w:val="clear" w:color="000000" w:fill="F2F2F2"/>
            <w:vAlign w:val="center"/>
            <w:hideMark/>
          </w:tcPr>
          <w:p w:rsidR="0021654A" w:rsidRPr="00B77962"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-6.24</w:t>
            </w:r>
          </w:p>
        </w:tc>
      </w:tr>
      <w:tr w:rsidTr="009E0DC0">
        <w:tblPrEx>
          <w:tblW w:w="4875" w:type="pct"/>
          <w:jc w:val="center"/>
          <w:tblLook w:val="04A0"/>
        </w:tblPrEx>
        <w:trPr>
          <w:trHeight w:val="390"/>
          <w:jc w:val="center"/>
        </w:trPr>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Times New Roman" w:eastAsia="Times New Roman" w:hAnsi="Times New Roman" w:cs="Times New Roman"/>
                <w:szCs w:val="20"/>
              </w:rPr>
            </w:pPr>
          </w:p>
        </w:tc>
      </w:tr>
      <w:tr w:rsidTr="009E0DC0">
        <w:tblPrEx>
          <w:tblW w:w="4875" w:type="pct"/>
          <w:jc w:val="center"/>
          <w:tblLook w:val="04A0"/>
        </w:tblPrEx>
        <w:trPr>
          <w:trHeight w:val="390"/>
          <w:jc w:val="center"/>
        </w:trPr>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bookmarkStart w:id="1"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12/31 RATE</w:t>
            </w:r>
          </w:p>
        </w:tc>
        <w:tc>
          <w:tcPr>
            <w:tcW w:w="1250"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rsidR="0021654A" w:rsidRPr="006D5A63"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Tr="009E0DC0">
        <w:tblPrEx>
          <w:tblW w:w="4875" w:type="pct"/>
          <w:jc w:val="center"/>
          <w:tblLook w:val="04A0"/>
        </w:tblPrEx>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rsidR="0021654A" w:rsidRPr="003F39E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10 YR 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3F39E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1.92</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3F39E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1.78</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rsidR="0021654A" w:rsidRPr="003F39E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2.69</w:t>
            </w:r>
          </w:p>
        </w:tc>
      </w:tr>
    </w:tbl>
    <w:p w:rsidR="0021654A" w:rsidRPr="002D6595" w:rsidP="0021654A">
      <w:pPr>
        <w:spacing w:line="276" w:lineRule="auto"/>
        <w:rPr>
          <w:rStyle w:val="st"/>
          <w:rFonts w:asciiTheme="majorHAnsi" w:hAnsiTheme="majorHAnsi"/>
          <w:color w:val="767171" w:themeColor="background2" w:themeShade="80"/>
          <w:sz w:val="4"/>
        </w:rPr>
      </w:pPr>
      <w:bookmarkStart w:id="2" w:name="_Hlk533682393"/>
    </w:p>
    <w:p w:rsidR="0021654A" w:rsidRPr="006942AF" w:rsidP="0021654A">
      <w:pPr>
        <w:spacing w:line="276" w:lineRule="auto"/>
        <w:rPr>
          <w:rFonts w:asciiTheme="majorHAnsi" w:hAnsiTheme="majorHAnsi"/>
          <w:color w:val="767171" w:themeColor="background2" w:themeShade="80"/>
          <w:sz w:val="18"/>
          <w:szCs w:val="14"/>
        </w:rPr>
      </w:pPr>
      <w:bookmarkEnd w:id="2"/>
      <w:r w:rsidRPr="006942AF">
        <w:rPr>
          <w:rFonts w:asciiTheme="majorHAnsi" w:hAnsiTheme="majorHAnsi"/>
          <w:color w:val="767171" w:themeColor="background2" w:themeShade="80"/>
          <w:sz w:val="18"/>
          <w:szCs w:val="14"/>
        </w:rPr>
        <w:t xml:space="preserve">Sources: </w:t>
      </w:r>
      <w:r>
        <w:rPr>
          <w:rFonts w:asciiTheme="majorHAnsi" w:hAnsiTheme="majorHAnsi"/>
          <w:color w:val="767171" w:themeColor="background2" w:themeShade="80"/>
          <w:sz w:val="18"/>
          <w:szCs w:val="14"/>
        </w:rPr>
        <w:t>barchart</w:t>
      </w:r>
      <w:r w:rsidRPr="003D5977">
        <w:rPr>
          <w:rFonts w:asciiTheme="majorHAnsi" w:hAnsiTheme="majorHAnsi"/>
          <w:color w:val="767171" w:themeColor="background2" w:themeShade="80"/>
          <w:sz w:val="18"/>
          <w:szCs w:val="14"/>
        </w:rPr>
        <w:t>.com, wsj.com, treasury.gov – 12/31/19</w:t>
      </w:r>
      <w:r w:rsidRPr="003D5977">
        <w:rPr>
          <w:rFonts w:asciiTheme="majorHAnsi" w:hAnsiTheme="majorHAnsi"/>
          <w:color w:val="767171" w:themeColor="background2" w:themeShade="80"/>
          <w:sz w:val="18"/>
          <w:szCs w:val="14"/>
          <w:vertAlign w:val="superscript"/>
        </w:rPr>
        <w:t>17,18,19</w:t>
      </w:r>
    </w:p>
    <w:p w:rsidR="0021654A" w:rsidRPr="006942AF" w:rsidP="0021654A">
      <w:pPr>
        <w:spacing w:line="276" w:lineRule="auto"/>
        <w:rPr>
          <w:rFonts w:asciiTheme="majorHAnsi" w:hAnsiTheme="majorHAnsi" w:cs="Verdana"/>
          <w:iCs/>
          <w:color w:val="767171" w:themeColor="background2" w:themeShade="80"/>
          <w:spacing w:val="-4"/>
          <w:sz w:val="18"/>
          <w:szCs w:val="14"/>
        </w:rPr>
      </w:pPr>
      <w:bookmarkEnd w:id="1"/>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rsidR="0021654A" w:rsidRPr="008D3D97" w:rsidP="0021654A">
      <w:pPr>
        <w:spacing w:line="276" w:lineRule="auto"/>
        <w:jc w:val="center"/>
        <w:rPr>
          <w:rFonts w:asciiTheme="majorHAnsi" w:hAnsiTheme="majorHAnsi" w:cs="Verdana"/>
          <w:iCs/>
          <w:spacing w:val="-4"/>
          <w:sz w:val="18"/>
          <w:szCs w:val="14"/>
        </w:rPr>
      </w:pPr>
    </w:p>
    <w:p w:rsidR="0021654A" w:rsidRPr="00695191" w:rsidP="0021654A">
      <w:pPr>
        <w:spacing w:line="276" w:lineRule="auto"/>
        <w:jc w:val="both"/>
        <w:rPr>
          <w:rFonts w:asciiTheme="majorHAnsi" w:hAnsiTheme="majorHAnsi"/>
          <w:sz w:val="24"/>
        </w:rPr>
      </w:pPr>
      <w:r w:rsidRPr="00695191">
        <w:rPr>
          <w:rStyle w:val="st"/>
          <w:rFonts w:asciiTheme="majorHAnsi" w:hAnsiTheme="majorHAnsi"/>
          <w:sz w:val="24"/>
        </w:rPr>
        <w:t>A phase-one trade pact between the U.S. and China</w:t>
      </w:r>
      <w:r>
        <w:rPr>
          <w:rStyle w:val="st"/>
          <w:rFonts w:asciiTheme="majorHAnsi" w:hAnsiTheme="majorHAnsi"/>
          <w:sz w:val="24"/>
        </w:rPr>
        <w:t>, scheduled to be signed on January 15 in Washington,</w:t>
      </w:r>
      <w:r w:rsidRPr="00695191">
        <w:rPr>
          <w:rStyle w:val="st"/>
          <w:rFonts w:asciiTheme="majorHAnsi" w:hAnsiTheme="majorHAnsi"/>
          <w:sz w:val="24"/>
        </w:rPr>
        <w:t xml:space="preserve"> could reassure stock market bulls</w:t>
      </w:r>
      <w:r w:rsidRPr="003D5977">
        <w:rPr>
          <w:rStyle w:val="st"/>
          <w:rFonts w:asciiTheme="majorHAnsi" w:hAnsiTheme="majorHAnsi"/>
          <w:sz w:val="24"/>
        </w:rPr>
        <w:t xml:space="preserve">. </w:t>
      </w:r>
      <w:r w:rsidRPr="00252EB0">
        <w:rPr>
          <w:rStyle w:val="st"/>
          <w:rFonts w:asciiTheme="majorHAnsi" w:hAnsiTheme="majorHAnsi"/>
          <w:sz w:val="24"/>
        </w:rPr>
        <w:t>For that matter, so could the Federal Reserve’s ongoing market activity that is expanding its balance sheet once again</w:t>
      </w:r>
      <w:r w:rsidRPr="003D5977">
        <w:rPr>
          <w:rStyle w:val="st"/>
          <w:rFonts w:asciiTheme="majorHAnsi" w:hAnsiTheme="majorHAnsi"/>
          <w:sz w:val="24"/>
        </w:rPr>
        <w:t>. It will be interesting to see if these factors can help the market maintain its momentum in January, as the next earnings season gets underway.</w:t>
      </w:r>
      <w:r w:rsidRPr="003D5977">
        <w:rPr>
          <w:rStyle w:val="st"/>
          <w:rFonts w:asciiTheme="majorHAnsi" w:hAnsiTheme="majorHAnsi"/>
          <w:sz w:val="24"/>
          <w:vertAlign w:val="superscript"/>
        </w:rPr>
        <w:t>20</w:t>
      </w:r>
    </w:p>
    <w:p w:rsidR="0021654A" w:rsidRPr="00DD38C0" w:rsidP="0021654A">
      <w:pPr>
        <w:spacing w:line="276" w:lineRule="auto"/>
        <w:rPr>
          <w:rFonts w:asciiTheme="majorHAnsi" w:hAnsiTheme="majorHAnsi"/>
          <w:color w:val="808080"/>
          <w:spacing w:val="-2"/>
          <w:sz w:val="4"/>
        </w:rPr>
      </w:pPr>
    </w:p>
    <w:p w:rsidR="0021654A"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jc w:val="center"/>
        <w:rPr>
          <w:rStyle w:val="st"/>
          <w:rFonts w:asciiTheme="majorHAnsi" w:hAnsiTheme="majorHAnsi"/>
          <w:color w:val="E88E0A"/>
          <w:sz w:val="4"/>
        </w:rPr>
      </w:pPr>
    </w:p>
    <w:p w:rsidR="0021654A" w:rsidRPr="00CE13AE" w:rsidP="0021654A">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rsidR="0021654A" w:rsidRPr="00DD38C0" w:rsidP="0021654A">
      <w:pPr>
        <w:spacing w:line="276" w:lineRule="auto"/>
        <w:jc w:val="center"/>
        <w:rPr>
          <w:rStyle w:val="st"/>
          <w:rFonts w:asciiTheme="majorHAnsi" w:hAnsiTheme="majorHAnsi"/>
          <w:sz w:val="4"/>
        </w:rPr>
      </w:pPr>
    </w:p>
    <w:p w:rsidR="0021654A" w:rsidP="0021654A">
      <w:pPr>
        <w:spacing w:line="276" w:lineRule="auto"/>
        <w:jc w:val="center"/>
        <w:rPr>
          <w:rStyle w:val="st"/>
          <w:rFonts w:asciiTheme="majorHAnsi" w:hAnsiTheme="majorHAnsi"/>
        </w:rPr>
      </w:pPr>
      <w:r>
        <w:rPr>
          <w:rFonts w:asciiTheme="majorHAnsi" w:hAnsiTheme="majorHAnsi"/>
          <w:noProof/>
        </w:rPr>
        <w:drawing>
          <wp:inline distT="0" distB="0" distL="0" distR="0">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rsidR="0021654A" w:rsidRPr="006623AB" w:rsidP="0021654A">
      <w:pPr>
        <w:spacing w:line="276" w:lineRule="auto"/>
        <w:jc w:val="center"/>
        <w:rPr>
          <w:rStyle w:val="st"/>
          <w:rFonts w:asciiTheme="majorHAnsi" w:hAnsiTheme="majorHAnsi"/>
          <w:i/>
          <w:sz w:val="36"/>
        </w:rPr>
      </w:pPr>
      <w:r w:rsidRPr="006623AB">
        <w:rPr>
          <w:rStyle w:val="st"/>
          <w:rFonts w:asciiTheme="majorHAnsi" w:hAnsiTheme="majorHAnsi"/>
          <w:i/>
          <w:sz w:val="36"/>
        </w:rPr>
        <w:t xml:space="preserve">“Sometimes a </w:t>
      </w:r>
      <w:r w:rsidRPr="006623AB">
        <w:rPr>
          <w:rStyle w:val="st"/>
          <w:rFonts w:asciiTheme="majorHAnsi" w:hAnsiTheme="majorHAnsi"/>
          <w:b/>
          <w:i/>
          <w:sz w:val="36"/>
        </w:rPr>
        <w:t>slow gradual approach</w:t>
      </w:r>
      <w:r w:rsidRPr="006623AB">
        <w:rPr>
          <w:rStyle w:val="st"/>
          <w:rFonts w:asciiTheme="majorHAnsi" w:hAnsiTheme="majorHAnsi"/>
          <w:i/>
          <w:sz w:val="36"/>
        </w:rPr>
        <w:t xml:space="preserve"> does more good than a </w:t>
      </w:r>
      <w:r w:rsidRPr="006623AB">
        <w:rPr>
          <w:rStyle w:val="st"/>
          <w:rFonts w:asciiTheme="majorHAnsi" w:hAnsiTheme="majorHAnsi"/>
          <w:b/>
          <w:i/>
          <w:sz w:val="36"/>
        </w:rPr>
        <w:t xml:space="preserve">large </w:t>
      </w:r>
      <w:r w:rsidRPr="006623AB">
        <w:rPr>
          <w:rStyle w:val="st"/>
          <w:rFonts w:asciiTheme="majorHAnsi" w:hAnsiTheme="majorHAnsi"/>
          <w:b/>
          <w:i/>
          <w:sz w:val="36"/>
        </w:rPr>
        <w:t>gesture</w:t>
      </w:r>
      <w:r w:rsidRPr="006623AB">
        <w:rPr>
          <w:rStyle w:val="st"/>
          <w:rFonts w:asciiTheme="majorHAnsi" w:hAnsiTheme="majorHAnsi"/>
          <w:i/>
          <w:sz w:val="36"/>
        </w:rPr>
        <w:t>.”</w:t>
      </w:r>
    </w:p>
    <w:p w:rsidR="0021654A" w:rsidRPr="00825DF7" w:rsidP="0021654A">
      <w:pPr>
        <w:spacing w:line="276" w:lineRule="auto"/>
        <w:jc w:val="center"/>
        <w:rPr>
          <w:rStyle w:val="st"/>
          <w:rFonts w:asciiTheme="majorHAnsi" w:hAnsiTheme="majorHAnsi"/>
          <w:caps/>
          <w:color w:val="3E7BB6"/>
          <w:sz w:val="24"/>
        </w:rPr>
      </w:pPr>
      <w:r>
        <w:rPr>
          <w:rStyle w:val="st"/>
          <w:rFonts w:asciiTheme="majorHAnsi" w:hAnsiTheme="majorHAnsi"/>
          <w:i/>
          <w:caps/>
          <w:color w:val="3E7BB6"/>
        </w:rPr>
        <w:t>CRAIG NEWMARK</w:t>
      </w:r>
    </w:p>
    <w:p w:rsidR="0021654A" w:rsidRPr="00DD38C0" w:rsidP="0021654A">
      <w:pPr>
        <w:spacing w:line="276" w:lineRule="auto"/>
        <w:jc w:val="center"/>
        <w:rPr>
          <w:rStyle w:val="st"/>
          <w:rFonts w:asciiTheme="majorHAnsi" w:hAnsiTheme="majorHAnsi"/>
          <w:i/>
          <w:color w:val="E88E0A"/>
          <w:sz w:val="4"/>
        </w:rPr>
      </w:pPr>
    </w:p>
    <w:p w:rsidR="0021654A"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rPr>
          <w:rStyle w:val="st"/>
          <w:rFonts w:asciiTheme="majorHAnsi" w:hAnsiTheme="majorHAnsi"/>
          <w:sz w:val="4"/>
        </w:rPr>
      </w:pPr>
    </w:p>
    <w:p w:rsidR="0021654A" w:rsidRPr="004A31CC" w:rsidP="0021654A">
      <w:pPr>
        <w:spacing w:line="276" w:lineRule="auto"/>
        <w:rPr>
          <w:rFonts w:asciiTheme="majorHAnsi" w:hAnsiTheme="majorHAnsi"/>
          <w:b/>
          <w:spacing w:val="-2"/>
          <w:sz w:val="28"/>
        </w:rPr>
      </w:pPr>
      <w:r>
        <w:rPr>
          <w:rFonts w:asciiTheme="majorHAnsi" w:hAnsiTheme="majorHAnsi"/>
          <w:b/>
          <w:color w:val="3E7BB6"/>
          <w:spacing w:val="-2"/>
          <w:sz w:val="28"/>
        </w:rPr>
        <w:t>UPCOMING RELEASES</w:t>
      </w:r>
    </w:p>
    <w:p w:rsidR="0021654A" w:rsidRPr="00BE7E6F" w:rsidP="0021654A">
      <w:pPr>
        <w:spacing w:line="276" w:lineRule="auto"/>
        <w:jc w:val="both"/>
        <w:rPr>
          <w:rFonts w:asciiTheme="majorHAnsi" w:hAnsiTheme="majorHAnsi"/>
          <w:spacing w:val="-2"/>
        </w:rPr>
      </w:pPr>
      <w:r w:rsidRPr="00BE7E6F">
        <w:rPr>
          <w:rFonts w:asciiTheme="majorHAnsi" w:hAnsiTheme="majorHAnsi"/>
          <w:spacing w:val="-2"/>
        </w:rPr>
        <w:t>Here are the news releases and events Wall Street will have an eye on during the rest of the first month of the new decade: November factory orders (1/7), the latest monthly employment snapshot from the Department of Labor (1/10), the December Consumer Pri</w:t>
      </w:r>
      <w:r w:rsidRPr="00BE7E6F">
        <w:rPr>
          <w:rFonts w:asciiTheme="majorHAnsi" w:hAnsiTheme="majorHAnsi"/>
          <w:spacing w:val="-2"/>
        </w:rPr>
        <w:t xml:space="preserve">ce Index (1/14), the December Producer Price Index (1/15), December retail sales (1/16), the initial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S</w:t>
      </w:r>
      <w:r w:rsidRPr="00BE7E6F">
        <w:rPr>
          <w:rFonts w:asciiTheme="majorHAnsi" w:hAnsiTheme="majorHAnsi"/>
          <w:spacing w:val="-2"/>
        </w:rPr>
        <w:t xml:space="preserve">entiment </w:t>
      </w:r>
      <w:r>
        <w:rPr>
          <w:rFonts w:asciiTheme="majorHAnsi" w:hAnsiTheme="majorHAnsi"/>
          <w:spacing w:val="-2"/>
        </w:rPr>
        <w:t>I</w:t>
      </w:r>
      <w:r w:rsidRPr="00BE7E6F">
        <w:rPr>
          <w:rFonts w:asciiTheme="majorHAnsi" w:hAnsiTheme="majorHAnsi"/>
          <w:spacing w:val="-2"/>
        </w:rPr>
        <w:t xml:space="preserve">ndex from the University of Michigan and the Census Bureau’s report on December residential construction activity (1/17), a National Association of Realtors report on December home buying (1/22), the Conference Board’s </w:t>
      </w:r>
      <w:r>
        <w:rPr>
          <w:rFonts w:asciiTheme="majorHAnsi" w:hAnsiTheme="majorHAnsi"/>
          <w:spacing w:val="-2"/>
        </w:rPr>
        <w:t>newest</w:t>
      </w:r>
      <w:r w:rsidRPr="00BE7E6F">
        <w:rPr>
          <w:rFonts w:asciiTheme="majorHAnsi" w:hAnsiTheme="majorHAnsi"/>
          <w:spacing w:val="-2"/>
        </w:rPr>
        <w:t xml:space="preserve"> index of leading indicators (1</w:t>
      </w:r>
      <w:r w:rsidRPr="00BE7E6F">
        <w:rPr>
          <w:rFonts w:asciiTheme="majorHAnsi" w:hAnsiTheme="majorHAnsi"/>
          <w:spacing w:val="-2"/>
        </w:rPr>
        <w:t xml:space="preserve">/23), the Census Bureau’s look at December new home sales (1/27), December durable goods orders and the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C</w:t>
      </w:r>
      <w:r w:rsidRPr="00BE7E6F">
        <w:rPr>
          <w:rFonts w:asciiTheme="majorHAnsi" w:hAnsiTheme="majorHAnsi"/>
          <w:spacing w:val="-2"/>
        </w:rPr>
        <w:t xml:space="preserve">onfidence </w:t>
      </w:r>
      <w:r>
        <w:rPr>
          <w:rFonts w:asciiTheme="majorHAnsi" w:hAnsiTheme="majorHAnsi"/>
          <w:spacing w:val="-2"/>
        </w:rPr>
        <w:t>I</w:t>
      </w:r>
      <w:r w:rsidRPr="00BE7E6F">
        <w:rPr>
          <w:rFonts w:asciiTheme="majorHAnsi" w:hAnsiTheme="majorHAnsi"/>
          <w:spacing w:val="-2"/>
        </w:rPr>
        <w:t>ndex from the Conference Board (1/28), the latest monetary policy statement from the Federal Reserve, plus the NAR’s Decemb</w:t>
      </w:r>
      <w:r w:rsidRPr="00BE7E6F">
        <w:rPr>
          <w:rFonts w:asciiTheme="majorHAnsi" w:hAnsiTheme="majorHAnsi"/>
          <w:spacing w:val="-2"/>
        </w:rPr>
        <w:t xml:space="preserve">er </w:t>
      </w:r>
      <w:r>
        <w:rPr>
          <w:rFonts w:asciiTheme="majorHAnsi" w:hAnsiTheme="majorHAnsi"/>
          <w:spacing w:val="-2"/>
        </w:rPr>
        <w:t>P</w:t>
      </w:r>
      <w:r w:rsidRPr="00BE7E6F">
        <w:rPr>
          <w:rFonts w:asciiTheme="majorHAnsi" w:hAnsiTheme="majorHAnsi"/>
          <w:spacing w:val="-2"/>
        </w:rPr>
        <w:t xml:space="preserve">ending </w:t>
      </w:r>
      <w:r>
        <w:rPr>
          <w:rFonts w:asciiTheme="majorHAnsi" w:hAnsiTheme="majorHAnsi"/>
          <w:spacing w:val="-2"/>
        </w:rPr>
        <w:t>H</w:t>
      </w:r>
      <w:r w:rsidRPr="00BE7E6F">
        <w:rPr>
          <w:rFonts w:asciiTheme="majorHAnsi" w:hAnsiTheme="majorHAnsi"/>
          <w:spacing w:val="-2"/>
        </w:rPr>
        <w:t xml:space="preserve">ome </w:t>
      </w:r>
      <w:r>
        <w:rPr>
          <w:rFonts w:asciiTheme="majorHAnsi" w:hAnsiTheme="majorHAnsi"/>
          <w:spacing w:val="-2"/>
        </w:rPr>
        <w:t>S</w:t>
      </w:r>
      <w:r w:rsidRPr="00BE7E6F">
        <w:rPr>
          <w:rFonts w:asciiTheme="majorHAnsi" w:hAnsiTheme="majorHAnsi"/>
          <w:spacing w:val="-2"/>
        </w:rPr>
        <w:t xml:space="preserve">ales </w:t>
      </w:r>
      <w:r>
        <w:rPr>
          <w:rFonts w:asciiTheme="majorHAnsi" w:hAnsiTheme="majorHAnsi"/>
          <w:spacing w:val="-2"/>
        </w:rPr>
        <w:t>I</w:t>
      </w:r>
      <w:r w:rsidRPr="00BE7E6F">
        <w:rPr>
          <w:rFonts w:asciiTheme="majorHAnsi" w:hAnsiTheme="majorHAnsi"/>
          <w:spacing w:val="-2"/>
        </w:rPr>
        <w:t xml:space="preserve">ndex (1/29), the federal government’s first estimate of fourth-quarter gross domestic product (1/30), and December consumer spending, the December PCE price index, and the final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S</w:t>
      </w:r>
      <w:r w:rsidRPr="00BE7E6F">
        <w:rPr>
          <w:rFonts w:asciiTheme="majorHAnsi" w:hAnsiTheme="majorHAnsi"/>
          <w:spacing w:val="-2"/>
        </w:rPr>
        <w:t xml:space="preserve">entiment </w:t>
      </w:r>
      <w:r>
        <w:rPr>
          <w:rFonts w:asciiTheme="majorHAnsi" w:hAnsiTheme="majorHAnsi"/>
          <w:spacing w:val="-2"/>
        </w:rPr>
        <w:t>I</w:t>
      </w:r>
      <w:r w:rsidRPr="00BE7E6F">
        <w:rPr>
          <w:rFonts w:asciiTheme="majorHAnsi" w:hAnsiTheme="majorHAnsi"/>
          <w:spacing w:val="-2"/>
        </w:rPr>
        <w:t>ndex from the University of</w:t>
      </w:r>
      <w:r w:rsidRPr="00BE7E6F">
        <w:rPr>
          <w:rFonts w:asciiTheme="majorHAnsi" w:hAnsiTheme="majorHAnsi"/>
          <w:spacing w:val="-2"/>
        </w:rPr>
        <w:t xml:space="preserve"> Michigan (1/31).</w:t>
      </w:r>
    </w:p>
    <w:p w:rsidR="0021654A" w:rsidP="0021654A">
      <w:pPr>
        <w:spacing w:line="276" w:lineRule="auto"/>
        <w:jc w:val="both"/>
        <w:rPr>
          <w:rStyle w:val="st"/>
          <w:rFonts w:asciiTheme="majorHAnsi" w:hAnsiTheme="majorHAnsi"/>
        </w:rPr>
      </w:pPr>
    </w:p>
    <w:p w:rsidR="0021654A"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1654A" w:rsidRPr="00DD38C0" w:rsidP="0021654A">
      <w:pPr>
        <w:spacing w:line="276" w:lineRule="auto"/>
        <w:jc w:val="center"/>
        <w:rPr>
          <w:rStyle w:val="st"/>
          <w:rFonts w:asciiTheme="majorHAnsi" w:hAnsiTheme="majorHAnsi"/>
          <w:color w:val="E88E0A"/>
          <w:sz w:val="4"/>
        </w:rPr>
      </w:pPr>
    </w:p>
    <w:p w:rsidR="0021654A" w:rsidRPr="00CE13AE" w:rsidP="0021654A">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rsidR="0021654A" w:rsidRPr="00DD38C0" w:rsidP="0021654A">
      <w:pPr>
        <w:spacing w:line="276" w:lineRule="auto"/>
        <w:jc w:val="center"/>
        <w:rPr>
          <w:rStyle w:val="st"/>
          <w:rFonts w:asciiTheme="majorHAnsi" w:hAnsiTheme="majorHAnsi"/>
          <w:sz w:val="4"/>
        </w:rPr>
      </w:pPr>
    </w:p>
    <w:p w:rsidR="0021654A" w:rsidP="0021654A">
      <w:pPr>
        <w:spacing w:line="276" w:lineRule="auto"/>
        <w:jc w:val="center"/>
        <w:rPr>
          <w:rStyle w:val="st"/>
          <w:rFonts w:asciiTheme="majorHAnsi" w:hAnsiTheme="majorHAnsi"/>
        </w:rPr>
      </w:pPr>
      <w:r>
        <w:rPr>
          <w:rFonts w:asciiTheme="majorHAnsi" w:hAnsiTheme="majorHAnsi"/>
          <w:noProof/>
        </w:rPr>
        <w:drawing>
          <wp:inline distT="0" distB="0" distL="0" distR="0">
            <wp:extent cx="776034" cy="955119"/>
            <wp:effectExtent l="0" t="0" r="5080" b="0"/>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rsidR="0021654A" w:rsidRPr="00695191" w:rsidP="0021654A">
      <w:pPr>
        <w:spacing w:line="276" w:lineRule="auto"/>
        <w:jc w:val="center"/>
        <w:rPr>
          <w:rStyle w:val="st"/>
          <w:rFonts w:asciiTheme="majorHAnsi" w:hAnsiTheme="majorHAnsi"/>
          <w:i/>
          <w:sz w:val="36"/>
        </w:rPr>
      </w:pPr>
      <w:bookmarkStart w:id="3" w:name="_Hlk533572087"/>
      <w:r w:rsidRPr="00695191">
        <w:rPr>
          <w:rStyle w:val="st"/>
          <w:rFonts w:asciiTheme="majorHAnsi" w:hAnsiTheme="majorHAnsi"/>
          <w:i/>
          <w:sz w:val="36"/>
        </w:rPr>
        <w:t xml:space="preserve">It is met by feet in the </w:t>
      </w:r>
      <w:r w:rsidRPr="00695191">
        <w:rPr>
          <w:rStyle w:val="st"/>
          <w:rFonts w:asciiTheme="majorHAnsi" w:hAnsiTheme="majorHAnsi"/>
          <w:b/>
          <w:bCs/>
          <w:i/>
          <w:sz w:val="36"/>
        </w:rPr>
        <w:t>morning</w:t>
      </w:r>
      <w:r w:rsidRPr="00695191">
        <w:rPr>
          <w:rStyle w:val="st"/>
          <w:rFonts w:asciiTheme="majorHAnsi" w:hAnsiTheme="majorHAnsi"/>
          <w:i/>
          <w:sz w:val="36"/>
        </w:rPr>
        <w:t xml:space="preserve"> and sees few feet in the </w:t>
      </w:r>
      <w:r w:rsidRPr="00695191">
        <w:rPr>
          <w:rStyle w:val="st"/>
          <w:rFonts w:asciiTheme="majorHAnsi" w:hAnsiTheme="majorHAnsi"/>
          <w:b/>
          <w:bCs/>
          <w:i/>
          <w:sz w:val="36"/>
        </w:rPr>
        <w:t>night</w:t>
      </w:r>
      <w:r w:rsidRPr="00695191">
        <w:rPr>
          <w:rStyle w:val="st"/>
          <w:rFonts w:asciiTheme="majorHAnsi" w:hAnsiTheme="majorHAnsi"/>
          <w:i/>
          <w:sz w:val="36"/>
        </w:rPr>
        <w:t xml:space="preserve">. It may </w:t>
      </w:r>
      <w:r w:rsidRPr="00695191">
        <w:rPr>
          <w:rStyle w:val="st"/>
          <w:rFonts w:asciiTheme="majorHAnsi" w:hAnsiTheme="majorHAnsi"/>
          <w:b/>
          <w:bCs/>
          <w:i/>
          <w:sz w:val="36"/>
        </w:rPr>
        <w:t>shake</w:t>
      </w:r>
      <w:r w:rsidRPr="00695191">
        <w:rPr>
          <w:rStyle w:val="st"/>
          <w:rFonts w:asciiTheme="majorHAnsi" w:hAnsiTheme="majorHAnsi"/>
          <w:i/>
          <w:sz w:val="36"/>
        </w:rPr>
        <w:t xml:space="preserve"> as if it is angry, but it will </w:t>
      </w:r>
      <w:r w:rsidRPr="00695191">
        <w:rPr>
          <w:rStyle w:val="st"/>
          <w:rFonts w:asciiTheme="majorHAnsi" w:hAnsiTheme="majorHAnsi"/>
          <w:b/>
          <w:bCs/>
          <w:i/>
          <w:sz w:val="36"/>
        </w:rPr>
        <w:t>never bite</w:t>
      </w:r>
      <w:r w:rsidRPr="00695191">
        <w:rPr>
          <w:rStyle w:val="st"/>
          <w:rFonts w:asciiTheme="majorHAnsi" w:hAnsiTheme="majorHAnsi"/>
          <w:i/>
          <w:sz w:val="36"/>
        </w:rPr>
        <w:t>. What is it?</w:t>
      </w:r>
    </w:p>
    <w:p w:rsidR="0021654A" w:rsidRPr="00DD38C0" w:rsidP="0021654A">
      <w:pPr>
        <w:spacing w:line="276" w:lineRule="auto"/>
        <w:jc w:val="center"/>
        <w:rPr>
          <w:rStyle w:val="st"/>
          <w:rFonts w:asciiTheme="majorHAnsi" w:hAnsiTheme="majorHAnsi"/>
          <w:i/>
          <w:color w:val="A6A6A6" w:themeColor="background1" w:themeShade="A6"/>
          <w:sz w:val="4"/>
        </w:rPr>
      </w:pPr>
      <w:bookmarkEnd w:id="3"/>
    </w:p>
    <w:p w:rsidR="0021654A" w:rsidRPr="00DD38C0" w:rsidP="0021654A">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8A5748">
        <w:rPr>
          <w:rStyle w:val="st"/>
          <w:rFonts w:asciiTheme="majorHAnsi" w:hAnsiTheme="majorHAnsi"/>
          <w:i/>
          <w:color w:val="646464"/>
        </w:rPr>
        <w:t xml:space="preserve">A trail, a union, together tied. Come </w:t>
      </w:r>
      <w:r w:rsidRPr="008A5748">
        <w:rPr>
          <w:rStyle w:val="st"/>
          <w:rFonts w:asciiTheme="majorHAnsi" w:hAnsiTheme="majorHAnsi"/>
          <w:i/>
          <w:color w:val="646464"/>
        </w:rPr>
        <w:t>across me and you will find, you cannot change the course I’m on, without me you cannot travel on. What am I</w:t>
      </w:r>
      <w:r w:rsidRPr="001F3044">
        <w:rPr>
          <w:rStyle w:val="st"/>
          <w:rFonts w:asciiTheme="majorHAnsi" w:hAnsiTheme="majorHAnsi"/>
          <w:i/>
          <w:color w:val="646464"/>
        </w:rPr>
        <w:t>?</w:t>
      </w:r>
    </w:p>
    <w:p w:rsidR="0021654A" w:rsidRPr="00DD38C0" w:rsidP="0021654A">
      <w:pPr>
        <w:spacing w:line="276" w:lineRule="auto"/>
        <w:jc w:val="center"/>
        <w:rPr>
          <w:rStyle w:val="st"/>
          <w:rFonts w:asciiTheme="majorHAnsi" w:hAnsiTheme="majorHAnsi"/>
          <w:i/>
          <w:color w:val="646464"/>
        </w:rPr>
      </w:pPr>
      <w:r>
        <w:rPr>
          <w:rStyle w:val="st"/>
          <w:rFonts w:asciiTheme="majorHAnsi" w:hAnsiTheme="majorHAnsi"/>
          <w:i/>
          <w:color w:val="646464"/>
        </w:rPr>
        <w:t xml:space="preserve">ANSWER: </w:t>
      </w:r>
      <w:bookmarkEnd w:id="0"/>
      <w:r>
        <w:rPr>
          <w:rStyle w:val="st"/>
          <w:rFonts w:asciiTheme="majorHAnsi" w:hAnsiTheme="majorHAnsi"/>
          <w:i/>
          <w:color w:val="646464"/>
        </w:rPr>
        <w:t>Railroad tracks</w:t>
      </w:r>
      <w:r w:rsidRPr="0006123D">
        <w:rPr>
          <w:rStyle w:val="st"/>
          <w:rFonts w:asciiTheme="majorHAnsi" w:hAnsiTheme="majorHAnsi"/>
          <w:i/>
          <w:color w:val="646464"/>
        </w:rPr>
        <w:t>.</w:t>
      </w:r>
    </w:p>
    <w:p w:rsidR="00237981" w:rsidRPr="00DD38C0" w:rsidP="00EE6BF2">
      <w:pPr>
        <w:spacing w:line="276" w:lineRule="auto"/>
        <w:jc w:val="center"/>
        <w:rPr>
          <w:rStyle w:val="st"/>
          <w:rFonts w:asciiTheme="majorHAnsi" w:hAnsiTheme="majorHAnsi"/>
          <w:i/>
          <w:color w:val="A6A6A6" w:themeColor="background1" w:themeShade="A6"/>
          <w:sz w:val="4"/>
        </w:rPr>
      </w:pPr>
    </w:p>
    <w:p w:rsidR="00237981"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237981" w:rsidRPr="00DD38C0" w:rsidP="00EE6BF2">
      <w:pPr>
        <w:spacing w:line="276" w:lineRule="auto"/>
        <w:rPr>
          <w:rFonts w:asciiTheme="majorHAnsi" w:hAnsiTheme="majorHAnsi"/>
          <w:color w:val="A6A6A6" w:themeColor="background1" w:themeShade="A6"/>
          <w:sz w:val="2"/>
          <w:szCs w:val="20"/>
        </w:rPr>
      </w:pPr>
    </w:p>
    <w:p w:rsidR="006E3EBF" w:rsidRPr="00425944" w:rsidP="00EE6BF2">
      <w:pPr>
        <w:spacing w:line="276" w:lineRule="auto"/>
        <w:jc w:val="center"/>
        <w:rPr>
          <w:rFonts w:asciiTheme="majorHAnsi" w:hAnsiTheme="majorHAnsi" w:cs="Times New Roman"/>
          <w:sz w:val="2"/>
          <w:szCs w:val="32"/>
        </w:rPr>
      </w:pPr>
      <w:r w:rsidRPr="00237981">
        <w:rPr>
          <w:rFonts w:asciiTheme="majorHAnsi" w:hAnsiTheme="majorHAnsi" w:cs="Times New Roman"/>
          <w:sz w:val="24"/>
          <w:szCs w:val="32"/>
        </w:rPr>
        <w:fldChar w:fldCharType="begin"/>
      </w:r>
      <w:r w:rsidRPr="00237981">
        <w:rPr>
          <w:rFonts w:asciiTheme="majorHAnsi" w:hAnsiTheme="majorHAnsi" w:cs="Times New Roman"/>
          <w:sz w:val="24"/>
          <w:szCs w:val="32"/>
        </w:rPr>
        <w:instrText xml:space="preserve"> MERGEFIELD  representativename  \* MERGEFORMAT </w:instrText>
      </w:r>
      <w:r w:rsidRPr="00237981">
        <w:rPr>
          <w:rFonts w:asciiTheme="majorHAnsi" w:hAnsiTheme="majorHAnsi" w:cs="Times New Roman"/>
          <w:sz w:val="24"/>
          <w:szCs w:val="32"/>
        </w:rPr>
        <w:fldChar w:fldCharType="separate"/>
      </w:r>
      <w:r w:rsidRPr="00237981">
        <w:rPr>
          <w:rFonts w:asciiTheme="majorHAnsi" w:hAnsiTheme="majorHAnsi" w:cs="Times New Roman"/>
          <w:sz w:val="24"/>
          <w:szCs w:val="32"/>
        </w:rPr>
        <w:t>«</w:t>
      </w:r>
      <w:r w:rsidR="0073349F">
        <w:rPr>
          <w:rFonts w:asciiTheme="majorHAnsi" w:hAnsiTheme="majorHAnsi" w:cs="Times New Roman"/>
          <w:sz w:val="24"/>
          <w:szCs w:val="32"/>
        </w:rPr>
        <w:t>Harry Toro</w:t>
      </w:r>
      <w:r w:rsidRPr="00237981">
        <w:rPr>
          <w:rFonts w:asciiTheme="majorHAnsi" w:hAnsiTheme="majorHAnsi" w:cs="Times New Roman"/>
          <w:sz w:val="24"/>
          <w:szCs w:val="32"/>
        </w:rPr>
        <w:t>»</w:t>
      </w:r>
      <w:r w:rsidRPr="00237981">
        <w:rPr>
          <w:rFonts w:asciiTheme="majorHAnsi" w:hAnsiTheme="majorHAnsi" w:cs="Times New Roman"/>
          <w:sz w:val="24"/>
          <w:szCs w:val="32"/>
        </w:rPr>
        <w:fldChar w:fldCharType="end"/>
      </w:r>
      <w:r w:rsidRPr="00237981">
        <w:rPr>
          <w:rFonts w:asciiTheme="majorHAnsi" w:hAnsiTheme="majorHAnsi" w:cs="Times New Roman"/>
          <w:sz w:val="24"/>
          <w:szCs w:val="32"/>
        </w:rPr>
        <w:t xml:space="preserve"> may be reached at </w:t>
      </w:r>
      <w:r w:rsidRPr="00237981">
        <w:rPr>
          <w:rFonts w:asciiTheme="majorHAnsi" w:hAnsiTheme="majorHAnsi" w:cs="Times New Roman"/>
          <w:sz w:val="24"/>
          <w:szCs w:val="32"/>
        </w:rPr>
        <w:fldChar w:fldCharType="begin"/>
      </w:r>
      <w:r w:rsidRPr="00237981">
        <w:rPr>
          <w:rFonts w:asciiTheme="majorHAnsi" w:hAnsiTheme="majorHAnsi" w:cs="Times New Roman"/>
          <w:sz w:val="24"/>
          <w:szCs w:val="32"/>
        </w:rPr>
        <w:instrText xml:space="preserve"> MERGEFIELD  representativephone  \* MERGEFORMAT </w:instrText>
      </w:r>
      <w:r w:rsidRPr="00237981">
        <w:rPr>
          <w:rFonts w:asciiTheme="majorHAnsi" w:hAnsiTheme="majorHAnsi" w:cs="Times New Roman"/>
          <w:sz w:val="24"/>
          <w:szCs w:val="32"/>
        </w:rPr>
        <w:fldChar w:fldCharType="separate"/>
      </w:r>
      <w:r w:rsidRPr="00237981">
        <w:rPr>
          <w:rFonts w:asciiTheme="majorHAnsi" w:hAnsiTheme="majorHAnsi" w:cs="Times New Roman"/>
          <w:sz w:val="24"/>
          <w:szCs w:val="32"/>
        </w:rPr>
        <w:t>«</w:t>
      </w:r>
      <w:r w:rsidR="0073349F">
        <w:rPr>
          <w:rFonts w:asciiTheme="majorHAnsi" w:hAnsiTheme="majorHAnsi" w:cs="Times New Roman"/>
          <w:sz w:val="24"/>
          <w:szCs w:val="32"/>
        </w:rPr>
        <w:t>727-289-1220</w:t>
      </w:r>
      <w:r w:rsidRPr="00237981">
        <w:rPr>
          <w:rFonts w:asciiTheme="majorHAnsi" w:hAnsiTheme="majorHAnsi" w:cs="Times New Roman"/>
          <w:sz w:val="24"/>
          <w:szCs w:val="32"/>
        </w:rPr>
        <w:t>»</w:t>
      </w:r>
      <w:r w:rsidRPr="00237981">
        <w:rPr>
          <w:rFonts w:asciiTheme="majorHAnsi" w:hAnsiTheme="majorHAnsi" w:cs="Times New Roman"/>
          <w:sz w:val="24"/>
          <w:szCs w:val="32"/>
        </w:rPr>
        <w:fldChar w:fldCharType="end"/>
      </w:r>
      <w:r w:rsidRPr="00237981">
        <w:rPr>
          <w:rFonts w:asciiTheme="majorHAnsi" w:hAnsiTheme="majorHAnsi" w:cs="Times New Roman"/>
          <w:sz w:val="24"/>
          <w:szCs w:val="32"/>
        </w:rPr>
        <w:t xml:space="preserve"> or </w:t>
      </w:r>
      <w:r w:rsidRPr="00237981">
        <w:rPr>
          <w:rFonts w:asciiTheme="majorHAnsi" w:hAnsiTheme="majorHAnsi" w:cs="Times New Roman"/>
          <w:sz w:val="24"/>
          <w:szCs w:val="32"/>
        </w:rPr>
        <w:fldChar w:fldCharType="begin"/>
      </w:r>
      <w:r w:rsidRPr="00237981">
        <w:rPr>
          <w:rFonts w:asciiTheme="majorHAnsi" w:hAnsiTheme="majorHAnsi" w:cs="Times New Roman"/>
          <w:sz w:val="24"/>
          <w:szCs w:val="32"/>
        </w:rPr>
        <w:instrText xml:space="preserve"> MERGEFIELD  representativeemail  \* MERGEFORMAT </w:instrText>
      </w:r>
      <w:r w:rsidRPr="00237981">
        <w:rPr>
          <w:rFonts w:asciiTheme="majorHAnsi" w:hAnsiTheme="majorHAnsi" w:cs="Times New Roman"/>
          <w:sz w:val="24"/>
          <w:szCs w:val="32"/>
        </w:rPr>
        <w:fldChar w:fldCharType="separate"/>
      </w:r>
      <w:r w:rsidRPr="00237981">
        <w:rPr>
          <w:rFonts w:asciiTheme="majorHAnsi" w:hAnsiTheme="majorHAnsi" w:cs="Times New Roman"/>
          <w:sz w:val="24"/>
          <w:szCs w:val="32"/>
        </w:rPr>
        <w:t>«</w:t>
      </w:r>
      <w:r w:rsidR="0073349F">
        <w:rPr>
          <w:rFonts w:asciiTheme="majorHAnsi" w:hAnsiTheme="majorHAnsi" w:cs="Times New Roman"/>
          <w:sz w:val="24"/>
          <w:szCs w:val="32"/>
        </w:rPr>
        <w:t>harrytoro@htfinancial.org</w:t>
      </w:r>
      <w:r w:rsidRPr="00237981">
        <w:rPr>
          <w:rFonts w:asciiTheme="majorHAnsi" w:hAnsiTheme="majorHAnsi" w:cs="Times New Roman"/>
          <w:sz w:val="24"/>
          <w:szCs w:val="32"/>
        </w:rPr>
        <w:t>»</w:t>
      </w:r>
      <w:r w:rsidRPr="00237981">
        <w:rPr>
          <w:rFonts w:asciiTheme="majorHAnsi" w:hAnsiTheme="majorHAnsi" w:cs="Times New Roman"/>
          <w:sz w:val="24"/>
          <w:szCs w:val="32"/>
        </w:rPr>
        <w:fldChar w:fldCharType="end"/>
      </w:r>
      <w:r w:rsidRPr="00237981">
        <w:rPr>
          <w:rFonts w:asciiTheme="majorHAnsi" w:hAnsiTheme="majorHAnsi" w:cs="Times New Roman"/>
          <w:sz w:val="24"/>
          <w:szCs w:val="32"/>
        </w:rPr>
        <w:t xml:space="preserve"> </w:t>
      </w:r>
      <w:r>
        <w:rPr>
          <w:rFonts w:asciiTheme="majorHAnsi" w:hAnsiTheme="majorHAnsi" w:cs="Times New Roman"/>
          <w:sz w:val="24"/>
          <w:szCs w:val="32"/>
        </w:rPr>
        <w:br/>
      </w:r>
      <w:r w:rsidRPr="00237981">
        <w:rPr>
          <w:rFonts w:asciiTheme="majorHAnsi" w:hAnsiTheme="majorHAnsi" w:cs="Times New Roman"/>
          <w:sz w:val="24"/>
          <w:szCs w:val="32"/>
        </w:rPr>
        <w:fldChar w:fldCharType="begin"/>
      </w:r>
      <w:r w:rsidRPr="00237981">
        <w:rPr>
          <w:rFonts w:asciiTheme="majorHAnsi" w:hAnsiTheme="majorHAnsi" w:cs="Times New Roman"/>
          <w:sz w:val="24"/>
          <w:szCs w:val="32"/>
        </w:rPr>
        <w:instrText xml:space="preserve"> MERGEFIELD  representativewebsite  \* MERGEFORMAT </w:instrText>
      </w:r>
      <w:r w:rsidRPr="00237981">
        <w:rPr>
          <w:rFonts w:asciiTheme="majorHAnsi" w:hAnsiTheme="majorHAnsi" w:cs="Times New Roman"/>
          <w:sz w:val="24"/>
          <w:szCs w:val="32"/>
        </w:rPr>
        <w:fldChar w:fldCharType="separate"/>
      </w:r>
      <w:r w:rsidRPr="00237981">
        <w:rPr>
          <w:rFonts w:asciiTheme="majorHAnsi" w:hAnsiTheme="majorHAnsi" w:cs="Times New Roman"/>
          <w:sz w:val="24"/>
          <w:szCs w:val="32"/>
        </w:rPr>
        <w:t>«</w:t>
      </w:r>
      <w:r w:rsidR="0073349F">
        <w:rPr>
          <w:rFonts w:asciiTheme="majorHAnsi" w:hAnsiTheme="majorHAnsi" w:cs="Times New Roman"/>
          <w:sz w:val="24"/>
          <w:szCs w:val="32"/>
        </w:rPr>
        <w:t>HTfinancial.org</w:t>
      </w:r>
      <w:r w:rsidRPr="00237981">
        <w:rPr>
          <w:rFonts w:asciiTheme="majorHAnsi" w:hAnsiTheme="majorHAnsi" w:cs="Times New Roman"/>
          <w:sz w:val="24"/>
          <w:szCs w:val="32"/>
        </w:rPr>
        <w:t>»</w:t>
      </w:r>
      <w:r w:rsidRPr="00237981">
        <w:rPr>
          <w:rFonts w:asciiTheme="majorHAnsi" w:hAnsiTheme="majorHAnsi" w:cs="Times New Roman"/>
          <w:sz w:val="24"/>
          <w:szCs w:val="32"/>
        </w:rPr>
        <w:fldChar w:fldCharType="end"/>
      </w:r>
      <w:bookmarkStart w:id="4" w:name="_GoBack"/>
      <w:bookmarkEnd w:id="4"/>
      <w:r>
        <w:rPr>
          <w:rFonts w:asciiTheme="majorHAnsi" w:hAnsiTheme="majorHAnsi" w:cs="Times New Roman"/>
          <w:sz w:val="24"/>
          <w:szCs w:val="32"/>
        </w:rPr>
        <w:br/>
      </w:r>
    </w:p>
    <w:p w:rsidR="00237981" w:rsidRPr="00DD38C0" w:rsidP="00EE6BF2">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Know someone who could us</w:t>
      </w:r>
      <w:r w:rsidRPr="006E3EBF">
        <w:rPr>
          <w:rFonts w:asciiTheme="majorHAnsi" w:hAnsiTheme="majorHAnsi" w:cs="Times New Roman"/>
          <w:b/>
          <w:sz w:val="24"/>
          <w:szCs w:val="32"/>
        </w:rPr>
        <w:t xml:space="preserve">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to our mailing list.)</w:t>
      </w:r>
    </w:p>
    <w:p w:rsidR="00237981" w:rsidP="00EE6BF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rsidR="00EA0505" w:rsidRPr="00DD38C0" w:rsidP="00EE6BF2">
      <w:pPr>
        <w:spacing w:line="276" w:lineRule="auto"/>
        <w:jc w:val="both"/>
        <w:rPr>
          <w:rFonts w:asciiTheme="majorHAnsi" w:hAnsiTheme="majorHAnsi"/>
          <w:color w:val="646464"/>
          <w:sz w:val="2"/>
          <w:szCs w:val="16"/>
        </w:rPr>
      </w:pPr>
    </w:p>
    <w:p w:rsidR="00237981" w:rsidRPr="00DD38C0" w:rsidP="00EE6BF2">
      <w:pPr>
        <w:spacing w:line="276" w:lineRule="auto"/>
        <w:jc w:val="both"/>
        <w:rPr>
          <w:rFonts w:asciiTheme="majorHAnsi" w:hAnsiTheme="majorHAnsi"/>
          <w:color w:val="646464"/>
          <w:sz w:val="16"/>
          <w:szCs w:val="16"/>
        </w:rPr>
      </w:pPr>
      <w:r w:rsidRPr="00DD38C0">
        <w:rPr>
          <w:rFonts w:asciiTheme="majorHAnsi" w:hAnsiTheme="majorHAnsi"/>
          <w:color w:val="646464"/>
          <w:sz w:val="16"/>
          <w:szCs w:val="16"/>
        </w:rPr>
        <w:fldChar w:fldCharType="begin"/>
      </w:r>
      <w:r w:rsidRPr="00DD38C0">
        <w:rPr>
          <w:rFonts w:asciiTheme="majorHAnsi" w:hAnsiTheme="majorHAnsi"/>
          <w:color w:val="646464"/>
          <w:sz w:val="16"/>
          <w:szCs w:val="16"/>
        </w:rPr>
        <w:instrText xml:space="preserve"> MERGEFIELD  RepresentativeEmailDisclosure  \* MERGEFORMAT </w:instrText>
      </w:r>
      <w:r w:rsidRPr="00DD38C0">
        <w:rPr>
          <w:rFonts w:asciiTheme="majorHAnsi" w:hAnsiTheme="majorHAnsi"/>
          <w:color w:val="646464"/>
          <w:sz w:val="16"/>
          <w:szCs w:val="16"/>
        </w:rPr>
        <w:fldChar w:fldCharType="separate"/>
      </w:r>
      <w:r w:rsidRPr="00DD38C0">
        <w:rPr>
          <w:rFonts w:asciiTheme="majorHAnsi" w:hAnsiTheme="majorHAnsi"/>
          <w:noProof/>
          <w:color w:val="646464"/>
          <w:sz w:val="16"/>
          <w:szCs w:val="16"/>
        </w:rPr>
        <w:t>«RepresentativeEmailDisclosure»</w:t>
      </w:r>
      <w:r w:rsidRPr="00DD38C0">
        <w:rPr>
          <w:rFonts w:asciiTheme="majorHAnsi" w:hAnsiTheme="majorHAnsi"/>
          <w:color w:val="646464"/>
          <w:sz w:val="16"/>
          <w:szCs w:val="16"/>
        </w:rPr>
        <w:fldChar w:fldCharType="end"/>
      </w:r>
    </w:p>
    <w:p w:rsidR="00237981" w:rsidRPr="00DD38C0"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w:t>
      </w:r>
      <w:r w:rsidRPr="00977596">
        <w:rPr>
          <w:rFonts w:asciiTheme="majorHAnsi" w:hAnsiTheme="majorHAnsi"/>
          <w:iCs/>
          <w:color w:val="767171" w:themeColor="background2" w:themeShade="80"/>
          <w:sz w:val="16"/>
          <w:szCs w:val="16"/>
        </w:rPr>
        <w:t>economy</w:t>
      </w:r>
      <w:r w:rsidRPr="00977596">
        <w:rPr>
          <w:rFonts w:asciiTheme="majorHAnsi" w:hAnsiTheme="majorHAnsi"/>
          <w:color w:val="767171" w:themeColor="background2" w:themeShade="80"/>
          <w:sz w:val="16"/>
          <w:szCs w:val="16"/>
        </w:rPr>
        <w:t xml:space="preserve">. NYSE Group, Inc. (NYSE:NYX) operates two securities </w:t>
      </w:r>
      <w:r w:rsidRPr="00DD38C0">
        <w:rPr>
          <w:rFonts w:asciiTheme="majorHAnsi" w:hAnsiTheme="majorHAnsi"/>
          <w:color w:val="646464"/>
          <w:sz w:val="16"/>
          <w:szCs w:val="16"/>
        </w:rPr>
        <w:t>exchanges: the New York Stoc</w:t>
      </w:r>
      <w:r w:rsidRPr="00DD38C0">
        <w:rPr>
          <w:rFonts w:asciiTheme="majorHAnsi" w:hAnsiTheme="majorHAnsi"/>
          <w:color w:val="646464"/>
          <w:sz w:val="16"/>
          <w:szCs w:val="16"/>
        </w:rPr>
        <w:t>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and the Pacific Exchange). NYSE Group is a leading provider of securities listing, trading and market data products and services. The New York Mercantile </w:t>
      </w:r>
      <w:r w:rsidRPr="00DD38C0">
        <w:rPr>
          <w:rFonts w:asciiTheme="majorHAnsi" w:hAnsiTheme="majorHAnsi"/>
          <w:color w:val="646464"/>
          <w:sz w:val="16"/>
          <w:szCs w:val="16"/>
        </w:rPr>
        <w:t>Exchange, Inc. (NYMEX) is the world's largest physical commodity futures exchange and the preeminent trading forum for energy and precious metals, with trading conducted through two divisions – the NYMEX Division, home to the energy, platinum, and palladiu</w:t>
      </w:r>
      <w:r w:rsidRPr="00DD38C0">
        <w:rPr>
          <w:rFonts w:asciiTheme="majorHAnsi" w:hAnsiTheme="majorHAnsi"/>
          <w:color w:val="646464"/>
          <w:sz w:val="16"/>
          <w:szCs w:val="16"/>
        </w:rPr>
        <w:t>m markets, and the COMEX Division, on which all other metals trade.</w:t>
      </w:r>
      <w:r>
        <w:rPr>
          <w:rFonts w:asciiTheme="majorHAnsi" w:hAnsiTheme="majorHAnsi"/>
          <w:color w:val="646464"/>
          <w:sz w:val="16"/>
          <w:szCs w:val="16"/>
        </w:rPr>
        <w:t xml:space="preserve"> </w:t>
      </w:r>
      <w:r w:rsidRPr="00E16E2D">
        <w:rPr>
          <w:rFonts w:asciiTheme="majorHAnsi" w:hAnsiTheme="majorHAnsi"/>
          <w:color w:val="646464"/>
          <w:sz w:val="16"/>
          <w:szCs w:val="16"/>
        </w:rPr>
        <w:t>The SSE Composite Index is an index of all stocks (A shares and B shares) that are traded at the Shanghai Stock Exchange. The Hang Seng Index is a free float-adjusted market capitalization</w:t>
      </w:r>
      <w:r w:rsidRPr="00E16E2D">
        <w:rPr>
          <w:rFonts w:asciiTheme="majorHAnsi" w:hAnsiTheme="majorHAnsi"/>
          <w:color w:val="646464"/>
          <w:sz w:val="16"/>
          <w:szCs w:val="16"/>
        </w:rPr>
        <w:t>-weighted stock market index that is the main indicator of the overall market performance in Hong Kong.</w:t>
      </w:r>
      <w:r>
        <w:rPr>
          <w:rFonts w:asciiTheme="majorHAnsi" w:hAnsiTheme="majorHAnsi"/>
          <w:color w:val="646464"/>
          <w:sz w:val="16"/>
          <w:szCs w:val="16"/>
        </w:rPr>
        <w:t xml:space="preserve"> </w:t>
      </w:r>
      <w:r w:rsidRPr="0001081C">
        <w:rPr>
          <w:rFonts w:asciiTheme="majorHAnsi" w:hAnsiTheme="majorHAnsi"/>
          <w:color w:val="646464"/>
          <w:sz w:val="16"/>
          <w:szCs w:val="16"/>
        </w:rPr>
        <w:t>The Korea Composite Stock Price Index</w:t>
      </w:r>
      <w:r>
        <w:rPr>
          <w:rFonts w:asciiTheme="majorHAnsi" w:hAnsiTheme="majorHAnsi"/>
          <w:color w:val="646464"/>
          <w:sz w:val="16"/>
          <w:szCs w:val="16"/>
        </w:rPr>
        <w:t>,</w:t>
      </w:r>
      <w:r w:rsidRPr="0001081C">
        <w:rPr>
          <w:rFonts w:asciiTheme="majorHAnsi" w:hAnsiTheme="majorHAnsi"/>
          <w:color w:val="646464"/>
          <w:sz w:val="16"/>
          <w:szCs w:val="16"/>
        </w:rPr>
        <w:t xml:space="preserve"> or KOSPI</w:t>
      </w:r>
      <w:r>
        <w:rPr>
          <w:rFonts w:asciiTheme="majorHAnsi" w:hAnsiTheme="majorHAnsi"/>
          <w:color w:val="646464"/>
          <w:sz w:val="16"/>
          <w:szCs w:val="16"/>
        </w:rPr>
        <w:t>,</w:t>
      </w:r>
      <w:r w:rsidRPr="0001081C">
        <w:rPr>
          <w:rFonts w:asciiTheme="majorHAnsi" w:hAnsiTheme="majorHAnsi"/>
          <w:color w:val="646464"/>
          <w:sz w:val="16"/>
          <w:szCs w:val="16"/>
        </w:rPr>
        <w:t xml:space="preserve"> is </w:t>
      </w:r>
      <w:r>
        <w:rPr>
          <w:rFonts w:asciiTheme="majorHAnsi" w:hAnsiTheme="majorHAnsi"/>
          <w:color w:val="646464"/>
          <w:sz w:val="16"/>
          <w:szCs w:val="16"/>
        </w:rPr>
        <w:t xml:space="preserve">the </w:t>
      </w:r>
      <w:r w:rsidRPr="0001081C">
        <w:rPr>
          <w:rFonts w:asciiTheme="majorHAnsi" w:hAnsiTheme="majorHAnsi"/>
          <w:color w:val="646464"/>
          <w:sz w:val="16"/>
          <w:szCs w:val="16"/>
        </w:rPr>
        <w:t>representative stock market index of South Korea</w:t>
      </w:r>
      <w:r>
        <w:rPr>
          <w:rFonts w:asciiTheme="majorHAnsi" w:hAnsiTheme="majorHAnsi"/>
          <w:color w:val="646464"/>
          <w:sz w:val="16"/>
          <w:szCs w:val="16"/>
        </w:rPr>
        <w:t>:</w:t>
      </w:r>
      <w:r w:rsidRPr="0001081C">
        <w:rPr>
          <w:rFonts w:asciiTheme="majorHAnsi" w:hAnsiTheme="majorHAnsi"/>
          <w:color w:val="646464"/>
          <w:sz w:val="16"/>
          <w:szCs w:val="16"/>
        </w:rPr>
        <w:t xml:space="preserve"> the index of all common stocks traded on the S</w:t>
      </w:r>
      <w:r w:rsidRPr="0001081C">
        <w:rPr>
          <w:rFonts w:asciiTheme="majorHAnsi" w:hAnsiTheme="majorHAnsi"/>
          <w:color w:val="646464"/>
          <w:sz w:val="16"/>
          <w:szCs w:val="16"/>
        </w:rPr>
        <w:t>tock Market Division</w:t>
      </w:r>
      <w:r>
        <w:rPr>
          <w:rFonts w:asciiTheme="majorHAnsi" w:hAnsiTheme="majorHAnsi"/>
          <w:color w:val="646464"/>
          <w:sz w:val="16"/>
          <w:szCs w:val="16"/>
        </w:rPr>
        <w:t xml:space="preserve"> </w:t>
      </w:r>
      <w:r w:rsidRPr="0001081C">
        <w:rPr>
          <w:rFonts w:asciiTheme="majorHAnsi" w:hAnsiTheme="majorHAnsi"/>
          <w:color w:val="646464"/>
          <w:sz w:val="16"/>
          <w:szCs w:val="16"/>
        </w:rPr>
        <w:t>of the Korea Exchange. The RTS Index (Russia Trading System) is a free-float capitalization-weighted index of 50 Russian stocks traded on the Moscow Exchange, calculated in U</w:t>
      </w:r>
      <w:r>
        <w:rPr>
          <w:rFonts w:asciiTheme="majorHAnsi" w:hAnsiTheme="majorHAnsi"/>
          <w:color w:val="646464"/>
          <w:sz w:val="16"/>
          <w:szCs w:val="16"/>
        </w:rPr>
        <w:t>.</w:t>
      </w:r>
      <w:r w:rsidRPr="0001081C">
        <w:rPr>
          <w:rFonts w:asciiTheme="majorHAnsi" w:hAnsiTheme="majorHAnsi"/>
          <w:color w:val="646464"/>
          <w:sz w:val="16"/>
          <w:szCs w:val="16"/>
        </w:rPr>
        <w:t>S</w:t>
      </w:r>
      <w:r>
        <w:rPr>
          <w:rFonts w:asciiTheme="majorHAnsi" w:hAnsiTheme="majorHAnsi"/>
          <w:color w:val="646464"/>
          <w:sz w:val="16"/>
          <w:szCs w:val="16"/>
        </w:rPr>
        <w:t>.</w:t>
      </w:r>
      <w:r w:rsidRPr="0001081C">
        <w:rPr>
          <w:rFonts w:asciiTheme="majorHAnsi" w:hAnsiTheme="majorHAnsi"/>
          <w:color w:val="646464"/>
          <w:sz w:val="16"/>
          <w:szCs w:val="16"/>
        </w:rPr>
        <w:t xml:space="preserve"> dollars.</w:t>
      </w:r>
      <w:r>
        <w:rPr>
          <w:rFonts w:asciiTheme="majorHAnsi" w:hAnsiTheme="majorHAnsi"/>
          <w:color w:val="646464"/>
          <w:sz w:val="16"/>
          <w:szCs w:val="16"/>
        </w:rPr>
        <w:t xml:space="preserve"> </w:t>
      </w:r>
      <w:r w:rsidRPr="0001081C">
        <w:rPr>
          <w:rFonts w:asciiTheme="majorHAnsi" w:hAnsiTheme="majorHAnsi"/>
          <w:color w:val="646464"/>
          <w:sz w:val="16"/>
          <w:szCs w:val="16"/>
        </w:rPr>
        <w:t>The Bovespa Index (Portuguese: Índice Bovespa) b</w:t>
      </w:r>
      <w:r w:rsidRPr="0001081C">
        <w:rPr>
          <w:rFonts w:asciiTheme="majorHAnsi" w:hAnsiTheme="majorHAnsi"/>
          <w:color w:val="646464"/>
          <w:sz w:val="16"/>
          <w:szCs w:val="16"/>
        </w:rPr>
        <w:t>est known as Ibovespa is the benchmark index of about 60 stocks that are traded on the B3 (Brasil Bolsa Balcão)</w:t>
      </w:r>
      <w:r>
        <w:rPr>
          <w:rFonts w:asciiTheme="majorHAnsi" w:hAnsiTheme="majorHAnsi"/>
          <w:color w:val="646464"/>
          <w:sz w:val="16"/>
          <w:szCs w:val="16"/>
        </w:rPr>
        <w:t xml:space="preserve">. </w:t>
      </w:r>
      <w:r w:rsidRPr="0001081C">
        <w:rPr>
          <w:rFonts w:asciiTheme="majorHAnsi" w:hAnsiTheme="majorHAnsi"/>
          <w:color w:val="646464"/>
          <w:sz w:val="16"/>
          <w:szCs w:val="16"/>
        </w:rPr>
        <w:t>The DAX 30 is a Blue-Chip stock market index consisting of the 30 major German companies trading on the Frankfurt Stock Exchange.</w:t>
      </w:r>
      <w:r>
        <w:rPr>
          <w:rFonts w:asciiTheme="majorHAnsi" w:hAnsiTheme="majorHAnsi"/>
          <w:color w:val="646464"/>
          <w:sz w:val="16"/>
          <w:szCs w:val="16"/>
        </w:rPr>
        <w:t xml:space="preserve"> </w:t>
      </w:r>
      <w:r w:rsidRPr="0001081C">
        <w:rPr>
          <w:rFonts w:asciiTheme="majorHAnsi" w:hAnsiTheme="majorHAnsi"/>
          <w:color w:val="646464"/>
          <w:sz w:val="16"/>
          <w:szCs w:val="16"/>
        </w:rPr>
        <w:t>The CAC-40 In</w:t>
      </w:r>
      <w:r w:rsidRPr="0001081C">
        <w:rPr>
          <w:rFonts w:asciiTheme="majorHAnsi" w:hAnsiTheme="majorHAnsi"/>
          <w:color w:val="646464"/>
          <w:sz w:val="16"/>
          <w:szCs w:val="16"/>
        </w:rPr>
        <w:t>dex is a narrow-based, modified capitalization-weighted index of 40 companies listed on the Paris Bourse.</w:t>
      </w:r>
      <w:r>
        <w:rPr>
          <w:rFonts w:asciiTheme="majorHAnsi" w:hAnsiTheme="majorHAnsi"/>
          <w:color w:val="646464"/>
          <w:sz w:val="16"/>
          <w:szCs w:val="16"/>
        </w:rPr>
        <w:t xml:space="preserve"> </w:t>
      </w:r>
      <w:r w:rsidRPr="0001081C">
        <w:rPr>
          <w:rFonts w:asciiTheme="majorHAnsi" w:hAnsiTheme="majorHAnsi"/>
          <w:color w:val="646464"/>
          <w:sz w:val="16"/>
          <w:szCs w:val="16"/>
        </w:rPr>
        <w:t>The IBEX 35 is the benchmark stock market index of the Bolsa de Madrid, Spain's principal stock exchange.</w:t>
      </w:r>
      <w:r>
        <w:rPr>
          <w:rFonts w:asciiTheme="majorHAnsi" w:hAnsiTheme="majorHAnsi"/>
          <w:color w:val="646464"/>
          <w:sz w:val="16"/>
          <w:szCs w:val="16"/>
        </w:rPr>
        <w:t xml:space="preserve"> </w:t>
      </w:r>
      <w:r w:rsidRPr="0001081C">
        <w:rPr>
          <w:rFonts w:asciiTheme="majorHAnsi" w:hAnsiTheme="majorHAnsi"/>
          <w:color w:val="646464"/>
          <w:sz w:val="16"/>
          <w:szCs w:val="16"/>
        </w:rPr>
        <w:t>Nikkei 225 (Ticker: ^N225) is a stock market</w:t>
      </w:r>
      <w:r w:rsidRPr="0001081C">
        <w:rPr>
          <w:rFonts w:asciiTheme="majorHAnsi" w:hAnsiTheme="majorHAnsi"/>
          <w:color w:val="646464"/>
          <w:sz w:val="16"/>
          <w:szCs w:val="16"/>
        </w:rPr>
        <w:t xml:space="preserve"> index for the Tokyo Stock Exchange (TSE). The Nikkei average is the most watched index of Asian stocks.</w:t>
      </w:r>
      <w:r>
        <w:rPr>
          <w:rFonts w:asciiTheme="majorHAnsi" w:hAnsiTheme="majorHAnsi"/>
          <w:color w:val="646464"/>
          <w:sz w:val="16"/>
          <w:szCs w:val="16"/>
        </w:rPr>
        <w:t xml:space="preserve"> </w:t>
      </w:r>
      <w:r w:rsidRPr="0001081C">
        <w:rPr>
          <w:rFonts w:asciiTheme="majorHAnsi" w:hAnsiTheme="majorHAnsi"/>
          <w:color w:val="646464"/>
          <w:sz w:val="16"/>
          <w:szCs w:val="16"/>
        </w:rPr>
        <w:t>The MSCI EAFE Index was created by Morgan Stanley Capital International (MSCI) that serves as a benchmark of the performance in major international equ</w:t>
      </w:r>
      <w:r w:rsidRPr="0001081C">
        <w:rPr>
          <w:rFonts w:asciiTheme="majorHAnsi" w:hAnsiTheme="majorHAnsi"/>
          <w:color w:val="646464"/>
          <w:sz w:val="16"/>
          <w:szCs w:val="16"/>
        </w:rPr>
        <w:t>ity markets as represented by 21 major MSCI indices from Europe, Australia, and Southeast Asia.</w:t>
      </w:r>
      <w:r>
        <w:rPr>
          <w:rFonts w:asciiTheme="majorHAnsi" w:hAnsiTheme="majorHAnsi"/>
          <w:color w:val="646464"/>
          <w:sz w:val="16"/>
          <w:szCs w:val="16"/>
        </w:rPr>
        <w:t xml:space="preserve"> </w:t>
      </w:r>
      <w:r w:rsidRPr="0001081C">
        <w:rPr>
          <w:rFonts w:asciiTheme="majorHAnsi" w:hAnsiTheme="majorHAnsi"/>
          <w:color w:val="646464"/>
          <w:sz w:val="16"/>
          <w:szCs w:val="16"/>
        </w:rPr>
        <w:t>The S&amp;P/ASX 200 index is a market-capitalization weighted and float-adjusted stock market index of stocks listed on the Australian Securities Exchange. The inde</w:t>
      </w:r>
      <w:r w:rsidRPr="0001081C">
        <w:rPr>
          <w:rFonts w:asciiTheme="majorHAnsi" w:hAnsiTheme="majorHAnsi"/>
          <w:color w:val="646464"/>
          <w:sz w:val="16"/>
          <w:szCs w:val="16"/>
        </w:rPr>
        <w:t xml:space="preserve">x is maintained by Standard &amp; Poor's and is considered the </w:t>
      </w:r>
      <w:r w:rsidRPr="0001081C">
        <w:rPr>
          <w:rFonts w:asciiTheme="majorHAnsi" w:hAnsiTheme="majorHAnsi"/>
          <w:color w:val="646464"/>
          <w:sz w:val="16"/>
          <w:szCs w:val="16"/>
        </w:rPr>
        <w:t>benchmark for Australian equity performance</w:t>
      </w:r>
      <w:r>
        <w:rPr>
          <w:rFonts w:asciiTheme="majorHAnsi" w:hAnsiTheme="majorHAnsi"/>
          <w:color w:val="646464"/>
          <w:sz w:val="16"/>
          <w:szCs w:val="16"/>
        </w:rPr>
        <w:t xml:space="preserve">. </w:t>
      </w:r>
      <w:r w:rsidRPr="0001081C">
        <w:rPr>
          <w:rFonts w:asciiTheme="majorHAnsi" w:hAnsiTheme="majorHAnsi"/>
          <w:color w:val="646464"/>
          <w:sz w:val="16"/>
          <w:szCs w:val="16"/>
        </w:rPr>
        <w:t>Established in January 1980, the All Ordinaries is the oldest index of shares in Australia. It is made up of the share prices for 500 of the largest com</w:t>
      </w:r>
      <w:r w:rsidRPr="0001081C">
        <w:rPr>
          <w:rFonts w:asciiTheme="majorHAnsi" w:hAnsiTheme="majorHAnsi"/>
          <w:color w:val="646464"/>
          <w:sz w:val="16"/>
          <w:szCs w:val="16"/>
        </w:rPr>
        <w:t xml:space="preserve">panies listed on the Australian Securities Exchange. </w:t>
      </w:r>
      <w:r w:rsidRPr="008F6F43">
        <w:rPr>
          <w:rFonts w:asciiTheme="majorHAnsi" w:hAnsiTheme="majorHAnsi"/>
          <w:color w:val="767171" w:themeColor="background2" w:themeShade="80"/>
          <w:sz w:val="16"/>
          <w:szCs w:val="16"/>
        </w:rPr>
        <w:t>The U</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S</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 xml:space="preserve"> Dollar Index measures the </w:t>
      </w:r>
      <w:r w:rsidRPr="002F292D">
        <w:rPr>
          <w:rFonts w:asciiTheme="majorHAnsi" w:hAnsiTheme="majorHAnsi"/>
          <w:color w:val="767171" w:themeColor="background2" w:themeShade="80"/>
          <w:sz w:val="16"/>
          <w:szCs w:val="16"/>
        </w:rPr>
        <w:t xml:space="preserve">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 xml:space="preserve">investing, such as currency fluctuations, political and economic instability and differences in accounting standards.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w:t>
      </w:r>
      <w:r w:rsidRPr="00DD38C0">
        <w:rPr>
          <w:rFonts w:asciiTheme="majorHAnsi" w:hAnsiTheme="majorHAnsi" w:cs="Arial"/>
          <w:color w:val="646464"/>
          <w:sz w:val="16"/>
          <w:szCs w:val="16"/>
        </w:rPr>
        <w:t>e events, or a guarantee of future results. MarketingPro, Inc. is not affiliated with any person or firm that may be providing this information to you. The publisher is not engaged in rendering legal, accounting or other professional services. If assistanc</w:t>
      </w:r>
      <w:r w:rsidRPr="00DD38C0">
        <w:rPr>
          <w:rFonts w:asciiTheme="majorHAnsi" w:hAnsiTheme="majorHAnsi" w:cs="Arial"/>
          <w:color w:val="646464"/>
          <w:sz w:val="16"/>
          <w:szCs w:val="16"/>
        </w:rPr>
        <w:t>e is needed, the reader is advised to engage the services of a competent professional</w:t>
      </w:r>
      <w:r w:rsidRPr="00DD38C0">
        <w:rPr>
          <w:rFonts w:asciiTheme="majorHAnsi" w:hAnsiTheme="majorHAnsi"/>
          <w:color w:val="646464"/>
          <w:sz w:val="16"/>
          <w:szCs w:val="16"/>
        </w:rPr>
        <w:t>.</w:t>
      </w:r>
    </w:p>
    <w:p w:rsidR="00237981" w:rsidRPr="00DD38C0"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rsidR="003F2D76" w:rsidP="001103B2">
      <w:pPr>
        <w:spacing w:after="0" w:line="240" w:lineRule="auto"/>
        <w:rPr>
          <w:noProof/>
        </w:rPr>
      </w:pPr>
      <w:bookmarkStart w:id="5"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1748AF">
        <w:rPr>
          <w:rFonts w:asciiTheme="majorHAnsi" w:hAnsiTheme="majorHAnsi" w:cstheme="majorHAnsi"/>
          <w:color w:val="767171" w:themeColor="background2" w:themeShade="80"/>
          <w:sz w:val="16"/>
          <w:szCs w:val="16"/>
        </w:rPr>
        <w:t xml:space="preserve">money.cnn.com/data/markets/sandp/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rsidR="00645284" w:rsidRPr="00C149E1" w:rsidP="001103B2">
      <w:pPr>
        <w:spacing w:after="0" w:line="240" w:lineRule="auto"/>
        <w:rPr>
          <w:rFonts w:asciiTheme="majorHAnsi" w:hAnsiTheme="majorHAnsi" w:cs="Calibri"/>
          <w:color w:val="767171" w:themeColor="background2" w:themeShade="80"/>
          <w:sz w:val="16"/>
          <w:szCs w:val="16"/>
        </w:rPr>
      </w:pPr>
      <w:r>
        <w:rPr>
          <w:rFonts w:asciiTheme="majorHAnsi" w:hAnsiTheme="majorHAnsi" w:cs="Calibri"/>
          <w:color w:val="767171" w:themeColor="background2" w:themeShade="80"/>
          <w:sz w:val="16"/>
          <w:szCs w:val="16"/>
        </w:rPr>
        <w:t>2</w:t>
      </w:r>
      <w:r w:rsidRPr="00C149E1">
        <w:rPr>
          <w:rFonts w:asciiTheme="majorHAnsi" w:hAnsiTheme="majorHAnsi" w:cs="Calibri"/>
          <w:color w:val="767171" w:themeColor="background2" w:themeShade="80"/>
          <w:sz w:val="16"/>
          <w:szCs w:val="16"/>
        </w:rPr>
        <w:t xml:space="preserve"> - </w:t>
      </w:r>
      <w:r w:rsidRPr="006417B1">
        <w:rPr>
          <w:rFonts w:asciiTheme="majorHAnsi" w:hAnsiTheme="majorHAnsi" w:cs="Calibri"/>
          <w:color w:val="767171" w:themeColor="background2" w:themeShade="80"/>
          <w:sz w:val="16"/>
          <w:szCs w:val="16"/>
        </w:rPr>
        <w:t xml:space="preserve">cnbc.com/2019/12/13/china-says-it-has-agreed-to-us-trade-deal-text-indicates-next-step-is-signing.html </w:t>
      </w:r>
      <w:r w:rsidRPr="00C149E1">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2/</w:t>
      </w:r>
      <w:r w:rsidRPr="00C149E1">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3</w:t>
      </w:r>
      <w:r w:rsidRPr="00C149E1">
        <w:rPr>
          <w:rFonts w:asciiTheme="majorHAnsi" w:hAnsiTheme="majorHAnsi" w:cs="Calibri"/>
          <w:color w:val="767171" w:themeColor="background2" w:themeShade="80"/>
          <w:sz w:val="16"/>
          <w:szCs w:val="16"/>
        </w:rPr>
        <w:t>/19]</w:t>
      </w:r>
    </w:p>
    <w:p w:rsidR="003F2D76" w:rsidRPr="008E589A" w:rsidP="001103B2">
      <w:pPr>
        <w:spacing w:after="0" w:line="240" w:lineRule="auto"/>
        <w:rPr>
          <w:rFonts w:asciiTheme="majorHAnsi" w:hAnsiTheme="majorHAnsi" w:cs="Arial"/>
          <w:color w:val="767171" w:themeColor="background2" w:themeShade="80"/>
          <w:sz w:val="16"/>
        </w:rPr>
      </w:pPr>
      <w:r>
        <w:rPr>
          <w:rFonts w:asciiTheme="majorHAnsi" w:hAnsiTheme="majorHAnsi" w:cs="Calibri"/>
          <w:color w:val="767171" w:themeColor="background2" w:themeShade="80"/>
          <w:sz w:val="16"/>
          <w:szCs w:val="16"/>
        </w:rPr>
        <w:t xml:space="preserve">3 - </w:t>
      </w:r>
      <w:r w:rsidRPr="00695D48">
        <w:rPr>
          <w:rFonts w:asciiTheme="majorHAnsi" w:hAnsiTheme="majorHAnsi" w:cs="Arial"/>
          <w:color w:val="767171" w:themeColor="background2" w:themeShade="80"/>
          <w:sz w:val="16"/>
        </w:rPr>
        <w:t xml:space="preserve">cnn.com/2019/12/11/economy/federal-reserve-interest-rates-december/index.html </w:t>
      </w:r>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w:t>
      </w:r>
      <w:r>
        <w:rPr>
          <w:rFonts w:asciiTheme="majorHAnsi" w:hAnsiTheme="majorHAnsi" w:cs="Arial"/>
          <w:color w:val="767171" w:themeColor="background2" w:themeShade="80"/>
          <w:sz w:val="16"/>
        </w:rPr>
        <w:t>2/1</w:t>
      </w:r>
      <w:r>
        <w:rPr>
          <w:rFonts w:asciiTheme="majorHAnsi" w:hAnsiTheme="majorHAnsi" w:cs="Arial"/>
          <w:color w:val="767171" w:themeColor="background2" w:themeShade="80"/>
          <w:sz w:val="16"/>
        </w:rPr>
        <w:t>1</w:t>
      </w:r>
      <w:r w:rsidRPr="008E589A">
        <w:rPr>
          <w:rFonts w:asciiTheme="majorHAnsi" w:hAnsiTheme="majorHAnsi" w:cs="Arial"/>
          <w:color w:val="767171" w:themeColor="background2" w:themeShade="80"/>
          <w:sz w:val="16"/>
        </w:rPr>
        <w:t>/19]</w:t>
      </w:r>
    </w:p>
    <w:p w:rsidR="001103B2" w:rsidP="001103B2">
      <w:pPr>
        <w:spacing w:after="0" w:line="240" w:lineRule="auto"/>
        <w:rPr>
          <w:noProof/>
        </w:rPr>
      </w:pPr>
      <w:bookmarkStart w:id="6" w:name="_Hlk20470023"/>
      <w:bookmarkStart w:id="7" w:name="_Hlk10192834"/>
      <w:bookmarkStart w:id="8" w:name="_Hlk20399867"/>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bookmarkEnd w:id="6"/>
      <w:bookmarkEnd w:id="7"/>
      <w:bookmarkEnd w:id="8"/>
    </w:p>
    <w:p w:rsidR="00E361BB" w:rsidRPr="001103B2" w:rsidP="001103B2">
      <w:pPr>
        <w:spacing w:after="0" w:line="240" w:lineRule="auto"/>
        <w:rPr>
          <w:noProof/>
        </w:rPr>
      </w:pPr>
      <w:r>
        <w:rPr>
          <w:rFonts w:asciiTheme="majorHAnsi" w:hAnsiTheme="majorHAnsi" w:cs="Calibri"/>
          <w:color w:val="767171" w:themeColor="background2" w:themeShade="80"/>
          <w:sz w:val="16"/>
          <w:szCs w:val="16"/>
        </w:rPr>
        <w:t xml:space="preserve">5 - </w:t>
      </w:r>
      <w:r w:rsidRPr="00336AB8">
        <w:rPr>
          <w:rFonts w:asciiTheme="majorHAnsi" w:hAnsiTheme="majorHAnsi" w:cs="Calibri"/>
          <w:color w:val="767171" w:themeColor="background2" w:themeShade="80"/>
          <w:sz w:val="16"/>
          <w:szCs w:val="16"/>
        </w:rPr>
        <w:t xml:space="preserve">forbes.com/sites/pamdanziger/2019/12/26/holiday-retail-sales-advance-34-but-the-grinch-stole-physical-retailers-christmas </w:t>
      </w:r>
      <w:r>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2</w:t>
      </w:r>
      <w:r>
        <w:rPr>
          <w:rFonts w:asciiTheme="majorHAnsi" w:hAnsiTheme="majorHAnsi" w:cs="Calibri"/>
          <w:color w:val="767171" w:themeColor="background2" w:themeShade="80"/>
          <w:sz w:val="16"/>
          <w:szCs w:val="16"/>
        </w:rPr>
        <w:t>/</w:t>
      </w:r>
      <w:r>
        <w:rPr>
          <w:rFonts w:asciiTheme="majorHAnsi" w:hAnsiTheme="majorHAnsi" w:cs="Calibri"/>
          <w:color w:val="767171" w:themeColor="background2" w:themeShade="80"/>
          <w:sz w:val="16"/>
          <w:szCs w:val="16"/>
        </w:rPr>
        <w:t>26</w:t>
      </w:r>
      <w:r>
        <w:rPr>
          <w:rFonts w:asciiTheme="majorHAnsi" w:hAnsiTheme="majorHAnsi" w:cs="Calibri"/>
          <w:color w:val="767171" w:themeColor="background2" w:themeShade="80"/>
          <w:sz w:val="16"/>
          <w:szCs w:val="16"/>
        </w:rPr>
        <w:t>/19]</w:t>
      </w:r>
    </w:p>
    <w:p w:rsidR="0086490B" w:rsidRPr="001103B2" w:rsidP="001103B2">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6 - </w:t>
      </w:r>
      <w:r w:rsidRPr="001103B2">
        <w:rPr>
          <w:rFonts w:asciiTheme="majorHAnsi" w:hAnsiTheme="majorHAnsi" w:cs="Arial"/>
          <w:color w:val="767171" w:themeColor="background2" w:themeShade="80"/>
          <w:sz w:val="16"/>
        </w:rPr>
        <w:t xml:space="preserve">bit.ly/2tneguU </w:t>
      </w:r>
      <w:r>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w:t>
      </w:r>
      <w:r>
        <w:rPr>
          <w:rFonts w:asciiTheme="majorHAnsi" w:hAnsiTheme="majorHAnsi" w:cs="Arial"/>
          <w:color w:val="767171" w:themeColor="background2" w:themeShade="80"/>
          <w:sz w:val="16"/>
        </w:rPr>
        <w:t>2</w:t>
      </w:r>
      <w:r>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31</w:t>
      </w:r>
      <w:r>
        <w:rPr>
          <w:rFonts w:asciiTheme="majorHAnsi" w:hAnsiTheme="majorHAnsi" w:cs="Arial"/>
          <w:color w:val="767171" w:themeColor="background2" w:themeShade="80"/>
          <w:sz w:val="16"/>
        </w:rPr>
        <w:t>/19]</w:t>
      </w:r>
    </w:p>
    <w:p w:rsidR="003F2D76"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0E1C76">
        <w:rPr>
          <w:rFonts w:asciiTheme="majorHAnsi" w:hAnsiTheme="majorHAnsi" w:cstheme="majorHAnsi"/>
          <w:color w:val="808080" w:themeColor="background1" w:themeShade="80"/>
          <w:sz w:val="16"/>
          <w:szCs w:val="16"/>
        </w:rPr>
        <w:t xml:space="preserve">inquirer.com/news/secure-act-retirement-2020-annuities-rmd-529-plan-taxes-20191223.html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23</w:t>
      </w:r>
      <w:r>
        <w:rPr>
          <w:rFonts w:asciiTheme="majorHAnsi" w:hAnsiTheme="majorHAnsi" w:cstheme="majorHAnsi"/>
          <w:color w:val="808080" w:themeColor="background1" w:themeShade="80"/>
          <w:sz w:val="16"/>
          <w:szCs w:val="16"/>
        </w:rPr>
        <w:t>/19]</w:t>
      </w:r>
    </w:p>
    <w:p w:rsidR="003F2D76" w:rsidP="001103B2">
      <w:pPr>
        <w:spacing w:after="0" w:line="240" w:lineRule="auto"/>
        <w:rPr>
          <w:rFonts w:asciiTheme="majorHAnsi" w:hAnsiTheme="majorHAnsi" w:cstheme="majorHAnsi"/>
          <w:color w:val="808080" w:themeColor="background1" w:themeShade="80"/>
          <w:sz w:val="16"/>
          <w:szCs w:val="16"/>
        </w:rPr>
      </w:pPr>
      <w:bookmarkEnd w:id="5"/>
      <w:r>
        <w:rPr>
          <w:rFonts w:asciiTheme="majorHAnsi" w:hAnsiTheme="majorHAnsi" w:cstheme="majorHAnsi"/>
          <w:color w:val="808080" w:themeColor="background1" w:themeShade="80"/>
          <w:sz w:val="16"/>
          <w:szCs w:val="16"/>
        </w:rPr>
        <w:t>8</w:t>
      </w:r>
      <w:r w:rsidRPr="00FC51E8">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831C58">
        <w:rPr>
          <w:rFonts w:asciiTheme="majorHAnsi" w:hAnsiTheme="majorHAnsi" w:cstheme="majorHAnsi"/>
          <w:color w:val="808080" w:themeColor="background1" w:themeShade="80"/>
          <w:sz w:val="16"/>
          <w:szCs w:val="16"/>
        </w:rPr>
        <w:t xml:space="preserve">forbes.com/sites/pascaledavies/2019/12/15/for-europe-the-brexit-battle-is-just-getting-started </w:t>
      </w:r>
      <w:r w:rsidRPr="00FC51E8">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15</w:t>
      </w:r>
      <w:r w:rsidRPr="00FC51E8">
        <w:rPr>
          <w:rFonts w:asciiTheme="majorHAnsi" w:hAnsiTheme="majorHAnsi" w:cstheme="majorHAnsi"/>
          <w:color w:val="808080" w:themeColor="background1" w:themeShade="80"/>
          <w:sz w:val="16"/>
          <w:szCs w:val="16"/>
        </w:rPr>
        <w:t>/19]</w:t>
      </w:r>
    </w:p>
    <w:p w:rsidR="003F2D76" w:rsidRPr="000B4F01"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9</w:t>
      </w:r>
      <w:r w:rsidRPr="000B4F01">
        <w:rPr>
          <w:rFonts w:asciiTheme="majorHAnsi" w:hAnsiTheme="majorHAnsi" w:cstheme="majorHAnsi"/>
          <w:color w:val="808080" w:themeColor="background1" w:themeShade="80"/>
          <w:sz w:val="16"/>
          <w:szCs w:val="16"/>
        </w:rPr>
        <w:t xml:space="preserve"> - </w:t>
      </w:r>
      <w:r w:rsidRPr="008D0DA9">
        <w:rPr>
          <w:rFonts w:asciiTheme="majorHAnsi" w:hAnsiTheme="majorHAnsi" w:cstheme="majorHAnsi"/>
          <w:color w:val="808080" w:themeColor="background1" w:themeShade="80"/>
          <w:sz w:val="16"/>
          <w:szCs w:val="16"/>
        </w:rPr>
        <w:t xml:space="preserve">asia.nikkei.com/Economy/China-s-growth-likely-to-slow-to-5.9-in-2020-Survey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6</w:t>
      </w:r>
      <w:r w:rsidRPr="000B4F01">
        <w:rPr>
          <w:rFonts w:asciiTheme="majorHAnsi" w:hAnsiTheme="majorHAnsi" w:cstheme="majorHAnsi"/>
          <w:color w:val="808080" w:themeColor="background1" w:themeShade="80"/>
          <w:sz w:val="16"/>
          <w:szCs w:val="16"/>
        </w:rPr>
        <w:t xml:space="preserve">/19] </w:t>
      </w:r>
    </w:p>
    <w:p w:rsidR="003446D7"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10 - </w:t>
      </w:r>
      <w:r w:rsidRPr="003446D7">
        <w:rPr>
          <w:rFonts w:asciiTheme="majorHAnsi" w:hAnsiTheme="majorHAnsi" w:cstheme="majorHAnsi"/>
          <w:color w:val="808080" w:themeColor="background1" w:themeShade="80"/>
          <w:sz w:val="16"/>
          <w:szCs w:val="16"/>
        </w:rPr>
        <w:t>blogs.imf.org/2019/12/18/2019-in-review-the-global-economy-explained-in-5-charts/</w:t>
      </w:r>
      <w:r>
        <w:rPr>
          <w:rFonts w:asciiTheme="majorHAnsi" w:hAnsiTheme="majorHAnsi" w:cstheme="majorHAnsi"/>
          <w:color w:val="808080" w:themeColor="background1" w:themeShade="80"/>
          <w:sz w:val="16"/>
          <w:szCs w:val="16"/>
        </w:rPr>
        <w:t xml:space="preserve"> [12/18/19]</w:t>
      </w:r>
    </w:p>
    <w:p w:rsidR="0059236C" w:rsidRPr="001103B2"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11</w:t>
      </w:r>
      <w:r w:rsidRPr="00410159">
        <w:rPr>
          <w:rFonts w:asciiTheme="majorHAnsi" w:hAnsiTheme="majorHAnsi" w:cstheme="majorHAnsi"/>
          <w:color w:val="808080" w:themeColor="background1" w:themeShade="80"/>
          <w:sz w:val="16"/>
          <w:szCs w:val="16"/>
        </w:rPr>
        <w:t xml:space="preserve"> - </w:t>
      </w:r>
      <w:r w:rsidRPr="00110F91">
        <w:rPr>
          <w:rFonts w:asciiTheme="majorHAnsi" w:hAnsiTheme="majorHAnsi" w:cstheme="majorHAnsi"/>
          <w:color w:val="808080" w:themeColor="background1" w:themeShade="80"/>
          <w:sz w:val="16"/>
          <w:szCs w:val="16"/>
        </w:rPr>
        <w:t xml:space="preserve">barchart.com/stocks/indices/world-indices?viewName=performance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3F2D76" w:rsidRPr="00410159" w:rsidP="001103B2">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sidRPr="00410159">
        <w:rPr>
          <w:rFonts w:asciiTheme="majorHAnsi" w:hAnsiTheme="majorHAnsi" w:cstheme="majorHAnsi"/>
          <w:color w:val="808080" w:themeColor="background1" w:themeShade="80"/>
          <w:sz w:val="16"/>
          <w:szCs w:val="16"/>
        </w:rPr>
        <w:t xml:space="preserve"> - </w:t>
      </w:r>
      <w:r w:rsidRPr="009B50F1">
        <w:rPr>
          <w:rFonts w:asciiTheme="majorHAnsi" w:hAnsiTheme="majorHAnsi" w:cstheme="majorHAnsi"/>
          <w:color w:val="808080" w:themeColor="background1" w:themeShade="80"/>
          <w:sz w:val="16"/>
          <w:szCs w:val="16"/>
        </w:rPr>
        <w:t xml:space="preserve">marketwatch.com/investing/index/990300?countrycode=xx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86490B" w:rsidRPr="00987729" w:rsidP="001103B2">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13</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12/31</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rsidR="003F2D76"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3E1ECB">
        <w:rPr>
          <w:rFonts w:asciiTheme="majorHAnsi" w:hAnsiTheme="majorHAnsi" w:cstheme="majorHAnsi"/>
          <w:color w:val="808080" w:themeColor="background1" w:themeShade="80"/>
          <w:sz w:val="16"/>
          <w:szCs w:val="16"/>
        </w:rPr>
        <w:t xml:space="preserve">marketwatch.com/investing/index/dxy/historical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3F2D76"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15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8F6F43"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16 - </w:t>
      </w:r>
      <w:r w:rsidRPr="00840ED4">
        <w:rPr>
          <w:rFonts w:asciiTheme="majorHAnsi" w:hAnsiTheme="majorHAnsi" w:cstheme="majorHAnsi"/>
          <w:color w:val="808080" w:themeColor="background1" w:themeShade="80"/>
          <w:sz w:val="16"/>
          <w:szCs w:val="16"/>
        </w:rPr>
        <w:t xml:space="preserve">tradingeconomics.com/united-states/new-home-sales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3</w:t>
      </w:r>
      <w:r>
        <w:rPr>
          <w:rFonts w:asciiTheme="majorHAnsi" w:hAnsiTheme="majorHAnsi" w:cstheme="majorHAnsi"/>
          <w:color w:val="808080" w:themeColor="background1" w:themeShade="80"/>
          <w:sz w:val="16"/>
          <w:szCs w:val="16"/>
        </w:rPr>
        <w:t>/19]</w:t>
      </w:r>
    </w:p>
    <w:p w:rsidR="00B07673" w:rsidP="001103B2">
      <w:pPr>
        <w:spacing w:after="0" w:line="240" w:lineRule="auto"/>
        <w:rPr>
          <w:noProof/>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 xml:space="preserve"> - </w:t>
      </w:r>
      <w:r w:rsidRPr="00340237">
        <w:rPr>
          <w:rFonts w:asciiTheme="majorHAnsi" w:hAnsiTheme="majorHAnsi" w:cstheme="majorHAnsi"/>
          <w:color w:val="808080" w:themeColor="background1" w:themeShade="80"/>
          <w:sz w:val="16"/>
          <w:szCs w:val="16"/>
        </w:rPr>
        <w:t xml:space="preserve">barchart.com/stocks/indices?viewName=performance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Pr>
          <w:rFonts w:asciiTheme="majorHAnsi" w:hAnsiTheme="majorHAnsi" w:cstheme="majorHAnsi"/>
          <w:color w:val="808080" w:themeColor="background1" w:themeShade="80"/>
          <w:sz w:val="16"/>
          <w:szCs w:val="16"/>
        </w:rPr>
        <w:t>/19]</w:t>
      </w:r>
      <w:r w:rsidRPr="00B07673">
        <w:rPr>
          <w:noProof/>
        </w:rPr>
        <w:t xml:space="preserve"> </w:t>
      </w:r>
    </w:p>
    <w:p w:rsidR="003F2D76"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rsidR="003F2D76"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ED2C67"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20</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3D5977">
        <w:rPr>
          <w:rFonts w:asciiTheme="majorHAnsi" w:hAnsiTheme="majorHAnsi" w:cstheme="majorHAnsi"/>
          <w:color w:val="808080" w:themeColor="background1" w:themeShade="80"/>
          <w:sz w:val="16"/>
          <w:szCs w:val="16"/>
        </w:rPr>
        <w:t xml:space="preserve">cnbc.com/2019/12/31/the-stock-market-boomed-in-2019-heres-how-it-happened.html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rsidR="008E168C" w:rsidRPr="00410159" w:rsidP="001103B2">
      <w:pPr>
        <w:spacing w:after="0" w:line="240" w:lineRule="auto"/>
        <w:rPr>
          <w:rFonts w:asciiTheme="majorHAnsi" w:hAnsiTheme="majorHAnsi" w:cstheme="majorHAnsi"/>
          <w:color w:val="808080" w:themeColor="background1" w:themeShade="80"/>
          <w:sz w:val="16"/>
          <w:szCs w:val="16"/>
        </w:rPr>
      </w:pPr>
    </w:p>
    <w:sectPr w:rsidSect="002B3955">
      <w:footerReference w:type="default" r:id="rId8"/>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362">
    <w:pPr>
      <w:jc w:val="right"/>
      <w:rPr>
        <w:sz w:val="16"/>
      </w:rPr>
    </w:pPr>
    <w:r>
      <w:rPr>
        <w:sz w:val="16"/>
      </w:rPr>
      <w:t>99_2020</w:t>
    </w:r>
    <w:r>
      <w:rPr>
        <w:sz w:val="16"/>
      </w:rPr>
      <w:t>65_2020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764EF1"/>
    <w:multiLevelType w:val="hybridMultilevel"/>
    <w:tmpl w:val="52807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character" w:styleId="Hyperlink">
    <w:name w:val="Hyperlink"/>
    <w:basedOn w:val="DefaultParagraphFont"/>
    <w:uiPriority w:val="99"/>
    <w:unhideWhenUsed/>
    <w:rsid w:val="008F6F43"/>
    <w:rPr>
      <w:color w:val="0563C1" w:themeColor="hyperlink"/>
      <w:u w:val="single"/>
    </w:rPr>
  </w:style>
  <w:style w:type="character" w:customStyle="1" w:styleId="UnresolvedMention">
    <w:name w:val="Unresolved Mention"/>
    <w:basedOn w:val="DefaultParagraphFont"/>
    <w:uiPriority w:val="99"/>
    <w:semiHidden/>
    <w:unhideWhenUsed/>
    <w:rsid w:val="008F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Harry Toro</cp:lastModifiedBy>
  <cp:revision>2</cp:revision>
  <dcterms:created xsi:type="dcterms:W3CDTF">2020-01-06T14:24:00Z</dcterms:created>
  <dcterms:modified xsi:type="dcterms:W3CDTF">2020-01-06T14:24:00Z</dcterms:modified>
</cp:coreProperties>
</file>